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20"/>
        </w:tabs>
        <w:spacing w:line="360" w:lineRule="exact"/>
        <w:ind w:right="641"/>
        <w:rPr>
          <w:rFonts w:hint="eastAsia" w:eastAsia="黑体"/>
          <w:szCs w:val="32"/>
        </w:rPr>
      </w:pPr>
      <w:r>
        <w:rPr>
          <w:rFonts w:eastAsia="黑体"/>
          <w:szCs w:val="32"/>
        </w:rPr>
        <w:t>附件</w:t>
      </w:r>
      <w:r>
        <w:rPr>
          <w:rFonts w:hint="eastAsia" w:eastAsia="黑体"/>
          <w:szCs w:val="32"/>
        </w:rPr>
        <w:t>4</w:t>
      </w:r>
    </w:p>
    <w:p>
      <w:pPr>
        <w:spacing w:line="560" w:lineRule="exact"/>
        <w:jc w:val="center"/>
        <w:rPr>
          <w:rFonts w:ascii="宋体" w:hAnsi="宋体" w:cs="宋体"/>
          <w:kern w:val="0"/>
          <w:sz w:val="24"/>
        </w:rPr>
      </w:pPr>
      <w:r>
        <w:rPr>
          <w:rFonts w:hint="eastAsia" w:ascii="方正小标宋_GBK" w:hAnsi="宋体" w:eastAsia="方正小标宋_GBK" w:cs="宋体"/>
          <w:kern w:val="0"/>
          <w:sz w:val="36"/>
          <w:szCs w:val="36"/>
        </w:rPr>
        <w:t>永兴县政协机关部门整体支出绩效评价指标表</w:t>
      </w:r>
    </w:p>
    <w:tbl>
      <w:tblPr>
        <w:tblStyle w:val="3"/>
        <w:tblW w:w="10287" w:type="dxa"/>
        <w:jc w:val="center"/>
        <w:tblInd w:w="0" w:type="dxa"/>
        <w:tblLayout w:type="fixed"/>
        <w:tblCellMar>
          <w:top w:w="0" w:type="dxa"/>
          <w:left w:w="108" w:type="dxa"/>
          <w:bottom w:w="0" w:type="dxa"/>
          <w:right w:w="108" w:type="dxa"/>
        </w:tblCellMar>
      </w:tblPr>
      <w:tblGrid>
        <w:gridCol w:w="488"/>
        <w:gridCol w:w="542"/>
        <w:gridCol w:w="700"/>
        <w:gridCol w:w="434"/>
        <w:gridCol w:w="1092"/>
        <w:gridCol w:w="476"/>
        <w:gridCol w:w="2944"/>
        <w:gridCol w:w="2977"/>
        <w:gridCol w:w="634"/>
      </w:tblGrid>
      <w:tr>
        <w:tblPrEx>
          <w:tblLayout w:type="fixed"/>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43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109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47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294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97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63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Layout w:type="fixed"/>
          <w:tblCellMar>
            <w:top w:w="0" w:type="dxa"/>
            <w:left w:w="108" w:type="dxa"/>
            <w:bottom w:w="0" w:type="dxa"/>
            <w:right w:w="108" w:type="dxa"/>
          </w:tblCellMar>
        </w:tblPrEx>
        <w:trPr>
          <w:trHeight w:val="1814" w:hRule="atLeast"/>
          <w:jc w:val="center"/>
        </w:trPr>
        <w:tc>
          <w:tcPr>
            <w:tcW w:w="4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4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13</w:t>
            </w:r>
          </w:p>
        </w:tc>
        <w:tc>
          <w:tcPr>
            <w:tcW w:w="109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47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nil"/>
              <w:right w:val="nil"/>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在职人员控制率=（在职人员数/编制数）×100%，在职人员数：部门（单位）实际在职人数，以财政厅确定的部门决算编制口径为准。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6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0</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47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“三公经费”变动率≦0,计8分；“三公经费”＞0，每超过一个百分点扣0.8分，扣完为止。</w:t>
            </w:r>
          </w:p>
        </w:tc>
        <w:tc>
          <w:tcPr>
            <w:tcW w:w="297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6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r>
      <w:tr>
        <w:tblPrEx>
          <w:tblLayout w:type="fixed"/>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4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20</w:t>
            </w:r>
          </w:p>
        </w:tc>
        <w:tc>
          <w:tcPr>
            <w:tcW w:w="109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预算完成率</w:t>
            </w:r>
          </w:p>
        </w:tc>
        <w:tc>
          <w:tcPr>
            <w:tcW w:w="47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97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6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5</w:t>
            </w:r>
          </w:p>
        </w:tc>
      </w:tr>
      <w:tr>
        <w:tblPrEx>
          <w:tblLayout w:type="fixed"/>
          <w:tblCellMar>
            <w:top w:w="0" w:type="dxa"/>
            <w:left w:w="108" w:type="dxa"/>
            <w:bottom w:w="0" w:type="dxa"/>
            <w:right w:w="108" w:type="dxa"/>
          </w:tblCellMar>
        </w:tblPrEx>
        <w:trPr>
          <w:trHeight w:val="973" w:hRule="atLeast"/>
          <w:jc w:val="center"/>
        </w:trPr>
        <w:tc>
          <w:tcPr>
            <w:tcW w:w="4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预算控制率</w:t>
            </w:r>
          </w:p>
        </w:tc>
        <w:tc>
          <w:tcPr>
            <w:tcW w:w="47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16"/>
                <w:szCs w:val="16"/>
              </w:rPr>
              <w:t>预算控制率=0，计5分；0-10%（含），计4分；10-20%（含），计3分；20-30%（含），计2分；大于30%不得分。</w:t>
            </w:r>
          </w:p>
        </w:tc>
        <w:tc>
          <w:tcPr>
            <w:tcW w:w="297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6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5</w:t>
            </w:r>
          </w:p>
        </w:tc>
      </w:tr>
      <w:tr>
        <w:tblPrEx>
          <w:tblLayout w:type="fixed"/>
          <w:tblCellMar>
            <w:top w:w="0" w:type="dxa"/>
            <w:left w:w="108" w:type="dxa"/>
            <w:bottom w:w="0" w:type="dxa"/>
            <w:right w:w="108" w:type="dxa"/>
          </w:tblCellMar>
        </w:tblPrEx>
        <w:trPr>
          <w:trHeight w:val="1224" w:hRule="atLeast"/>
          <w:jc w:val="center"/>
        </w:trPr>
        <w:tc>
          <w:tcPr>
            <w:tcW w:w="4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新建楼堂馆所面积控制率</w:t>
            </w:r>
          </w:p>
        </w:tc>
        <w:tc>
          <w:tcPr>
            <w:tcW w:w="47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97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该指标以2015年完工的新建楼堂馆所为评价内容。</w:t>
            </w:r>
          </w:p>
        </w:tc>
        <w:tc>
          <w:tcPr>
            <w:tcW w:w="6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5</w:t>
            </w:r>
          </w:p>
        </w:tc>
      </w:tr>
      <w:tr>
        <w:tblPrEx>
          <w:tblLayout w:type="fixed"/>
          <w:tblCellMar>
            <w:top w:w="0" w:type="dxa"/>
            <w:left w:w="108" w:type="dxa"/>
            <w:bottom w:w="0" w:type="dxa"/>
            <w:right w:w="108" w:type="dxa"/>
          </w:tblCellMar>
        </w:tblPrEx>
        <w:trPr>
          <w:trHeight w:val="1464" w:hRule="atLeast"/>
          <w:jc w:val="center"/>
        </w:trPr>
        <w:tc>
          <w:tcPr>
            <w:tcW w:w="4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18"/>
                <w:szCs w:val="18"/>
              </w:rPr>
              <w:t>新建楼堂馆所投资概算控制率</w:t>
            </w:r>
          </w:p>
        </w:tc>
        <w:tc>
          <w:tcPr>
            <w:tcW w:w="47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w:t>
            </w:r>
          </w:p>
        </w:tc>
        <w:tc>
          <w:tcPr>
            <w:tcW w:w="297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楼堂馆所投资预算控制率=实际投资金额/批准投资金额×100%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该指标以2015年完工的新建楼堂馆所为评价内容。</w:t>
            </w:r>
          </w:p>
        </w:tc>
        <w:tc>
          <w:tcPr>
            <w:tcW w:w="6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5</w:t>
            </w:r>
          </w:p>
        </w:tc>
      </w:tr>
      <w:tr>
        <w:tblPrEx>
          <w:tblLayout w:type="fixed"/>
          <w:tblCellMar>
            <w:top w:w="0" w:type="dxa"/>
            <w:left w:w="108" w:type="dxa"/>
            <w:bottom w:w="0" w:type="dxa"/>
            <w:right w:w="108" w:type="dxa"/>
          </w:tblCellMar>
        </w:tblPrEx>
        <w:trPr>
          <w:trHeight w:val="1399" w:hRule="atLeast"/>
          <w:jc w:val="center"/>
        </w:trPr>
        <w:tc>
          <w:tcPr>
            <w:tcW w:w="4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4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41</w:t>
            </w:r>
          </w:p>
        </w:tc>
        <w:tc>
          <w:tcPr>
            <w:tcW w:w="109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47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97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20"/>
                <w:szCs w:val="20"/>
              </w:rPr>
              <w:t>公用经费支出是指部门基本支出中的一般商品和服务支出。</w:t>
            </w:r>
          </w:p>
        </w:tc>
        <w:tc>
          <w:tcPr>
            <w:tcW w:w="6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r>
      <w:tr>
        <w:tblPrEx>
          <w:tblLayout w:type="fixed"/>
          <w:tblCellMar>
            <w:top w:w="0" w:type="dxa"/>
            <w:left w:w="108" w:type="dxa"/>
            <w:bottom w:w="0" w:type="dxa"/>
            <w:right w:w="108" w:type="dxa"/>
          </w:tblCellMar>
        </w:tblPrEx>
        <w:trPr>
          <w:trHeight w:val="90" w:hRule="atLeast"/>
          <w:jc w:val="center"/>
        </w:trPr>
        <w:tc>
          <w:tcPr>
            <w:tcW w:w="48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w:t>
            </w:r>
          </w:p>
        </w:tc>
        <w:tc>
          <w:tcPr>
            <w:tcW w:w="47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18"/>
                <w:szCs w:val="18"/>
              </w:rPr>
            </w:pPr>
            <w:r>
              <w:rPr>
                <w:rFonts w:hint="eastAsia" w:ascii="仿宋_GB2312" w:hAnsi="宋体" w:cs="宋体"/>
                <w:kern w:val="0"/>
                <w:sz w:val="18"/>
                <w:szCs w:val="18"/>
              </w:rPr>
              <w:t>8</w:t>
            </w:r>
          </w:p>
        </w:tc>
        <w:tc>
          <w:tcPr>
            <w:tcW w:w="2944"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18"/>
                <w:szCs w:val="18"/>
              </w:rPr>
            </w:pPr>
            <w:r>
              <w:rPr>
                <w:rFonts w:hint="eastAsia" w:ascii="仿宋_GB2312" w:hAnsi="宋体" w:cs="宋体"/>
                <w:kern w:val="0"/>
                <w:sz w:val="18"/>
                <w:szCs w:val="18"/>
              </w:rPr>
              <w:t>100%以下（含）计满分，每超出1%扣1分，扣完为止。</w:t>
            </w:r>
          </w:p>
        </w:tc>
        <w:tc>
          <w:tcPr>
            <w:tcW w:w="297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6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r>
      <w:tr>
        <w:tblPrEx>
          <w:tblLayout w:type="fixed"/>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18"/>
                <w:szCs w:val="18"/>
              </w:rPr>
              <w:t>政府采购执行率</w:t>
            </w:r>
          </w:p>
        </w:tc>
        <w:tc>
          <w:tcPr>
            <w:tcW w:w="47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977"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63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r>
      <w:tr>
        <w:tblPrEx>
          <w:tblLayout w:type="fixed"/>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预决算信息公开性</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5</w:t>
            </w:r>
          </w:p>
        </w:tc>
      </w:tr>
      <w:tr>
        <w:tblPrEx>
          <w:tblLayout w:type="fixed"/>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4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根据绩效办2015年对各部门为民办实事和部门重点工程与重点工作考核分数折算。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该项得分=（绩效办对应部分考核得分/350）*8</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434"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1092"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18"/>
                <w:szCs w:val="18"/>
              </w:rPr>
              <w:t>经济效益</w:t>
            </w:r>
          </w:p>
        </w:tc>
        <w:tc>
          <w:tcPr>
            <w:tcW w:w="476" w:type="dxa"/>
            <w:vMerge w:val="restart"/>
            <w:tcBorders>
              <w:top w:val="nil"/>
              <w:left w:val="single" w:color="auto" w:sz="4" w:space="0"/>
              <w:bottom w:val="nil"/>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5921" w:type="dxa"/>
            <w:gridSpan w:val="2"/>
            <w:vMerge w:val="restart"/>
            <w:tcBorders>
              <w:top w:val="single" w:color="auto" w:sz="4" w:space="0"/>
              <w:left w:val="single" w:color="auto" w:sz="4" w:space="0"/>
              <w:bottom w:val="nil"/>
              <w:right w:val="single" w:color="000000"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634" w:type="dxa"/>
            <w:tcBorders>
              <w:top w:val="nil"/>
              <w:left w:val="nil"/>
              <w:bottom w:val="nil"/>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18"/>
                <w:szCs w:val="18"/>
              </w:rPr>
              <w:t>社会效益</w:t>
            </w:r>
          </w:p>
        </w:tc>
        <w:tc>
          <w:tcPr>
            <w:tcW w:w="476" w:type="dxa"/>
            <w:vMerge w:val="continue"/>
            <w:tcBorders>
              <w:top w:val="nil"/>
              <w:left w:val="single" w:color="auto" w:sz="4" w:space="0"/>
              <w:bottom w:val="nil"/>
              <w:right w:val="single" w:color="auto" w:sz="4" w:space="0"/>
            </w:tcBorders>
            <w:vAlign w:val="center"/>
          </w:tcPr>
          <w:p>
            <w:pPr>
              <w:widowControl/>
              <w:jc w:val="left"/>
              <w:rPr>
                <w:rFonts w:hint="eastAsia" w:ascii="仿宋_GB2312" w:hAnsi="宋体" w:cs="宋体"/>
                <w:kern w:val="0"/>
                <w:sz w:val="20"/>
                <w:szCs w:val="20"/>
              </w:rPr>
            </w:pPr>
          </w:p>
        </w:tc>
        <w:tc>
          <w:tcPr>
            <w:tcW w:w="5921" w:type="dxa"/>
            <w:gridSpan w:val="2"/>
            <w:vMerge w:val="continue"/>
            <w:tcBorders>
              <w:top w:val="single" w:color="auto" w:sz="4" w:space="0"/>
              <w:left w:val="single" w:color="auto" w:sz="4" w:space="0"/>
              <w:bottom w:val="nil"/>
              <w:right w:val="single" w:color="000000" w:sz="4" w:space="0"/>
            </w:tcBorders>
            <w:vAlign w:val="center"/>
          </w:tcPr>
          <w:p>
            <w:pPr>
              <w:widowControl/>
              <w:spacing w:line="280" w:lineRule="exact"/>
              <w:jc w:val="left"/>
              <w:rPr>
                <w:rFonts w:hint="eastAsia" w:ascii="仿宋_GB2312" w:hAnsi="宋体" w:cs="宋体"/>
                <w:kern w:val="0"/>
                <w:sz w:val="20"/>
                <w:szCs w:val="20"/>
              </w:rPr>
            </w:pPr>
          </w:p>
        </w:tc>
        <w:tc>
          <w:tcPr>
            <w:tcW w:w="634" w:type="dxa"/>
            <w:tcBorders>
              <w:top w:val="nil"/>
              <w:left w:val="nil"/>
              <w:bottom w:val="nil"/>
              <w:right w:val="single" w:color="auto" w:sz="4" w:space="0"/>
            </w:tcBorders>
            <w:vAlign w:val="center"/>
          </w:tcPr>
          <w:p>
            <w:pPr>
              <w:widowControl/>
              <w:jc w:val="left"/>
              <w:rPr>
                <w:rFonts w:hint="eastAsia" w:ascii="仿宋_GB2312" w:hAnsi="宋体" w:cs="宋体"/>
                <w:kern w:val="0"/>
                <w:sz w:val="20"/>
                <w:szCs w:val="20"/>
              </w:rPr>
            </w:pP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12</w:t>
            </w: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行政效能</w:t>
            </w:r>
          </w:p>
        </w:tc>
        <w:tc>
          <w:tcPr>
            <w:tcW w:w="47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2944"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977"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634"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r>
      <w:tr>
        <w:tblPrEx>
          <w:tblLayout w:type="fixed"/>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4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29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6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95</w:t>
            </w:r>
          </w:p>
        </w:tc>
      </w:tr>
    </w:tbl>
    <w:p>
      <w:pPr>
        <w:spacing w:line="560" w:lineRule="exact"/>
        <w:rPr>
          <w:rFonts w:hint="eastAsia" w:ascii="黑体" w:hAnsi="宋体" w:eastAsia="黑体" w:cs="宋体"/>
          <w:kern w:val="0"/>
          <w:szCs w:val="32"/>
        </w:rPr>
      </w:pPr>
      <w:r>
        <w:rPr>
          <w:rFonts w:hint="eastAsia" w:ascii="黑体" w:hAnsi="宋体" w:eastAsia="黑体" w:cs="宋体"/>
          <w:kern w:val="0"/>
          <w:szCs w:val="32"/>
        </w:rPr>
        <w:t>附件5</w:t>
      </w:r>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spacing w:line="560" w:lineRule="exact"/>
        <w:jc w:val="center"/>
        <w:rPr>
          <w:rFonts w:hint="eastAsia" w:ascii="方正小标宋_GBK" w:hAnsi="宋体" w:eastAsia="方正小标宋_GBK" w:cs="宋体"/>
          <w:kern w:val="0"/>
          <w:sz w:val="36"/>
          <w:szCs w:val="36"/>
        </w:rPr>
      </w:pPr>
    </w:p>
    <w:p>
      <w:pPr>
        <w:widowControl/>
        <w:tabs>
          <w:tab w:val="left" w:pos="3611"/>
          <w:tab w:val="left" w:pos="4791"/>
          <w:tab w:val="left" w:pos="5951"/>
          <w:tab w:val="left" w:pos="7071"/>
          <w:tab w:val="left" w:pos="8191"/>
          <w:tab w:val="left" w:pos="9311"/>
        </w:tabs>
        <w:ind w:left="91"/>
        <w:jc w:val="left"/>
        <w:rPr>
          <w:rFonts w:hint="eastAsia" w:ascii="仿宋_GB2312" w:hAnsi="宋体" w:cs="宋体"/>
          <w:kern w:val="0"/>
          <w:sz w:val="24"/>
        </w:rPr>
      </w:pPr>
      <w:r>
        <w:rPr>
          <w:rFonts w:hint="eastAsia" w:ascii="仿宋_GB2312" w:hAnsi="宋体" w:cs="宋体"/>
          <w:kern w:val="0"/>
          <w:sz w:val="24"/>
        </w:rPr>
        <w:t>填报单位：永兴县政协机关</w:t>
      </w:r>
      <w:r>
        <w:rPr>
          <w:rFonts w:hint="eastAsia" w:ascii="仿宋_GB2312" w:hAnsi="宋体" w:cs="宋体"/>
          <w:kern w:val="0"/>
          <w:sz w:val="24"/>
        </w:rPr>
        <w:tab/>
      </w:r>
      <w:r>
        <w:rPr>
          <w:rFonts w:hint="eastAsia" w:ascii="仿宋_GB2312" w:hAnsi="宋体" w:cs="宋体"/>
          <w:kern w:val="0"/>
          <w:sz w:val="24"/>
        </w:rPr>
        <w:tab/>
      </w:r>
      <w:r>
        <w:rPr>
          <w:rFonts w:hint="eastAsia" w:ascii="仿宋_GB2312" w:hAnsi="宋体" w:cs="宋体"/>
          <w:kern w:val="0"/>
          <w:sz w:val="24"/>
        </w:rPr>
        <w:tab/>
      </w:r>
      <w:r>
        <w:rPr>
          <w:rFonts w:hint="eastAsia" w:ascii="仿宋_GB2312" w:hAnsi="宋体" w:cs="宋体"/>
          <w:kern w:val="0"/>
          <w:sz w:val="24"/>
        </w:rPr>
        <w:tab/>
      </w:r>
      <w:r>
        <w:rPr>
          <w:rFonts w:hint="eastAsia" w:ascii="仿宋_GB2312" w:hAnsi="宋体" w:cs="宋体"/>
          <w:kern w:val="0"/>
          <w:sz w:val="24"/>
        </w:rPr>
        <w:t>单位：万元</w:t>
      </w:r>
      <w:r>
        <w:rPr>
          <w:rFonts w:hint="eastAsia" w:ascii="仿宋_GB2312" w:hAnsi="宋体" w:cs="宋体"/>
          <w:kern w:val="0"/>
          <w:sz w:val="24"/>
        </w:rPr>
        <w:tab/>
      </w:r>
    </w:p>
    <w:tbl>
      <w:tblPr>
        <w:tblStyle w:val="3"/>
        <w:tblW w:w="9497" w:type="dxa"/>
        <w:jc w:val="center"/>
        <w:tblInd w:w="0" w:type="dxa"/>
        <w:tblLayout w:type="fixed"/>
        <w:tblCellMar>
          <w:top w:w="0" w:type="dxa"/>
          <w:left w:w="108" w:type="dxa"/>
          <w:bottom w:w="0" w:type="dxa"/>
          <w:right w:w="108" w:type="dxa"/>
        </w:tblCellMar>
      </w:tblPr>
      <w:tblGrid>
        <w:gridCol w:w="2936"/>
        <w:gridCol w:w="1190"/>
        <w:gridCol w:w="6"/>
        <w:gridCol w:w="838"/>
        <w:gridCol w:w="1147"/>
        <w:gridCol w:w="1134"/>
        <w:gridCol w:w="1167"/>
        <w:gridCol w:w="1079"/>
      </w:tblGrid>
      <w:tr>
        <w:tblPrEx>
          <w:tblLayout w:type="fixed"/>
          <w:tblCellMar>
            <w:top w:w="0" w:type="dxa"/>
            <w:left w:w="108" w:type="dxa"/>
            <w:bottom w:w="0" w:type="dxa"/>
            <w:right w:w="108" w:type="dxa"/>
          </w:tblCellMar>
        </w:tblPrEx>
        <w:trPr>
          <w:trHeight w:val="417" w:hRule="atLeast"/>
          <w:jc w:val="center"/>
        </w:trPr>
        <w:tc>
          <w:tcPr>
            <w:tcW w:w="29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财政供养人员情况</w:t>
            </w:r>
          </w:p>
        </w:tc>
        <w:tc>
          <w:tcPr>
            <w:tcW w:w="2034" w:type="dxa"/>
            <w:gridSpan w:val="3"/>
            <w:tcBorders>
              <w:top w:val="single" w:color="auto" w:sz="4" w:space="0"/>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编制数</w:t>
            </w:r>
          </w:p>
        </w:tc>
        <w:tc>
          <w:tcPr>
            <w:tcW w:w="2281" w:type="dxa"/>
            <w:gridSpan w:val="2"/>
            <w:tcBorders>
              <w:top w:val="single" w:color="auto" w:sz="4" w:space="0"/>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2016年实际在职人数</w:t>
            </w:r>
          </w:p>
        </w:tc>
        <w:tc>
          <w:tcPr>
            <w:tcW w:w="2246" w:type="dxa"/>
            <w:gridSpan w:val="2"/>
            <w:tcBorders>
              <w:top w:val="single" w:color="auto" w:sz="4" w:space="0"/>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控制率</w:t>
            </w:r>
          </w:p>
        </w:tc>
      </w:tr>
      <w:tr>
        <w:tblPrEx>
          <w:tblLayout w:type="fixed"/>
          <w:tblCellMar>
            <w:top w:w="0" w:type="dxa"/>
            <w:left w:w="108" w:type="dxa"/>
            <w:bottom w:w="0" w:type="dxa"/>
            <w:right w:w="108" w:type="dxa"/>
          </w:tblCellMar>
        </w:tblPrEx>
        <w:trPr>
          <w:trHeight w:val="177" w:hRule="atLeast"/>
          <w:jc w:val="center"/>
        </w:trPr>
        <w:tc>
          <w:tcPr>
            <w:tcW w:w="2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2034" w:type="dxa"/>
            <w:gridSpan w:val="3"/>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22</w:t>
            </w:r>
          </w:p>
        </w:tc>
        <w:tc>
          <w:tcPr>
            <w:tcW w:w="2281"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32</w:t>
            </w:r>
          </w:p>
        </w:tc>
        <w:tc>
          <w:tcPr>
            <w:tcW w:w="2246"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145.45%</w:t>
            </w: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经费控制情况</w:t>
            </w:r>
          </w:p>
        </w:tc>
        <w:tc>
          <w:tcPr>
            <w:tcW w:w="2034" w:type="dxa"/>
            <w:gridSpan w:val="3"/>
            <w:tcBorders>
              <w:top w:val="single" w:color="auto" w:sz="4" w:space="0"/>
              <w:left w:val="nil"/>
              <w:bottom w:val="single" w:color="auto" w:sz="4" w:space="0"/>
              <w:right w:val="single" w:color="000000" w:sz="4" w:space="0"/>
            </w:tcBorders>
            <w:vAlign w:val="center"/>
          </w:tcPr>
          <w:p>
            <w:pPr>
              <w:widowControl/>
              <w:jc w:val="center"/>
              <w:rPr>
                <w:b/>
                <w:bCs/>
                <w:kern w:val="0"/>
                <w:sz w:val="20"/>
                <w:szCs w:val="20"/>
              </w:rPr>
            </w:pPr>
            <w:r>
              <w:rPr>
                <w:b/>
                <w:bCs/>
                <w:kern w:val="0"/>
                <w:sz w:val="20"/>
                <w:szCs w:val="20"/>
              </w:rPr>
              <w:t>2015年决算数</w:t>
            </w:r>
          </w:p>
        </w:tc>
        <w:tc>
          <w:tcPr>
            <w:tcW w:w="2281" w:type="dxa"/>
            <w:gridSpan w:val="2"/>
            <w:tcBorders>
              <w:top w:val="single" w:color="auto" w:sz="4" w:space="0"/>
              <w:left w:val="nil"/>
              <w:bottom w:val="single" w:color="auto" w:sz="4" w:space="0"/>
              <w:right w:val="single" w:color="000000" w:sz="4" w:space="0"/>
            </w:tcBorders>
            <w:vAlign w:val="center"/>
          </w:tcPr>
          <w:p>
            <w:pPr>
              <w:widowControl/>
              <w:jc w:val="center"/>
              <w:rPr>
                <w:b/>
                <w:bCs/>
                <w:kern w:val="0"/>
                <w:sz w:val="20"/>
                <w:szCs w:val="20"/>
              </w:rPr>
            </w:pPr>
            <w:r>
              <w:rPr>
                <w:b/>
                <w:bCs/>
                <w:kern w:val="0"/>
                <w:sz w:val="20"/>
                <w:szCs w:val="20"/>
              </w:rPr>
              <w:t>2016年预算数</w:t>
            </w:r>
          </w:p>
        </w:tc>
        <w:tc>
          <w:tcPr>
            <w:tcW w:w="2246" w:type="dxa"/>
            <w:gridSpan w:val="2"/>
            <w:tcBorders>
              <w:top w:val="single" w:color="auto" w:sz="4" w:space="0"/>
              <w:left w:val="nil"/>
              <w:bottom w:val="single" w:color="auto" w:sz="4" w:space="0"/>
              <w:right w:val="single" w:color="000000" w:sz="4" w:space="0"/>
            </w:tcBorders>
            <w:vAlign w:val="center"/>
          </w:tcPr>
          <w:p>
            <w:pPr>
              <w:widowControl/>
              <w:jc w:val="center"/>
              <w:rPr>
                <w:b/>
                <w:bCs/>
                <w:kern w:val="0"/>
                <w:sz w:val="20"/>
                <w:szCs w:val="20"/>
              </w:rPr>
            </w:pPr>
            <w:r>
              <w:rPr>
                <w:b/>
                <w:bCs/>
                <w:kern w:val="0"/>
                <w:sz w:val="20"/>
                <w:szCs w:val="20"/>
              </w:rPr>
              <w:t>2016年决算数</w:t>
            </w: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三公经费</w:t>
            </w:r>
          </w:p>
        </w:tc>
        <w:tc>
          <w:tcPr>
            <w:tcW w:w="2034" w:type="dxa"/>
            <w:gridSpan w:val="3"/>
            <w:tcBorders>
              <w:top w:val="single" w:color="auto" w:sz="4" w:space="0"/>
              <w:left w:val="nil"/>
              <w:bottom w:val="single" w:color="auto" w:sz="4" w:space="0"/>
              <w:right w:val="single" w:color="000000" w:sz="4" w:space="0"/>
            </w:tcBorders>
            <w:vAlign w:val="top"/>
          </w:tcPr>
          <w:p>
            <w:pPr>
              <w:jc w:val="center"/>
            </w:pPr>
            <w:r>
              <w:rPr>
                <w:rFonts w:hint="eastAsia"/>
                <w:kern w:val="0"/>
                <w:sz w:val="20"/>
                <w:szCs w:val="20"/>
              </w:rPr>
              <w:t>49.63</w:t>
            </w:r>
          </w:p>
        </w:tc>
        <w:tc>
          <w:tcPr>
            <w:tcW w:w="2281" w:type="dxa"/>
            <w:gridSpan w:val="2"/>
            <w:tcBorders>
              <w:top w:val="single" w:color="auto" w:sz="4" w:space="0"/>
              <w:left w:val="nil"/>
              <w:bottom w:val="single" w:color="auto" w:sz="4" w:space="0"/>
              <w:right w:val="single" w:color="000000" w:sz="4" w:space="0"/>
            </w:tcBorders>
            <w:vAlign w:val="top"/>
          </w:tcPr>
          <w:p>
            <w:pPr>
              <w:jc w:val="center"/>
            </w:pPr>
            <w:r>
              <w:rPr>
                <w:rFonts w:hint="eastAsia"/>
                <w:kern w:val="0"/>
                <w:sz w:val="20"/>
                <w:szCs w:val="20"/>
              </w:rPr>
              <w:t>49.63</w:t>
            </w:r>
          </w:p>
        </w:tc>
        <w:tc>
          <w:tcPr>
            <w:tcW w:w="2246" w:type="dxa"/>
            <w:gridSpan w:val="2"/>
            <w:tcBorders>
              <w:top w:val="single" w:color="auto" w:sz="4" w:space="0"/>
              <w:left w:val="nil"/>
              <w:bottom w:val="single" w:color="auto" w:sz="4" w:space="0"/>
              <w:right w:val="single" w:color="000000" w:sz="4" w:space="0"/>
            </w:tcBorders>
            <w:vAlign w:val="top"/>
          </w:tcPr>
          <w:p>
            <w:pPr>
              <w:jc w:val="center"/>
            </w:pPr>
            <w:r>
              <w:rPr>
                <w:rFonts w:hint="eastAsia"/>
                <w:kern w:val="0"/>
                <w:sz w:val="20"/>
                <w:szCs w:val="20"/>
              </w:rPr>
              <w:t>49.63</w:t>
            </w:r>
          </w:p>
        </w:tc>
      </w:tr>
      <w:tr>
        <w:tblPrEx>
          <w:tblLayout w:type="fixed"/>
          <w:tblCellMar>
            <w:top w:w="0" w:type="dxa"/>
            <w:left w:w="108" w:type="dxa"/>
            <w:bottom w:w="0" w:type="dxa"/>
            <w:right w:w="108" w:type="dxa"/>
          </w:tblCellMar>
        </w:tblPrEx>
        <w:trPr>
          <w:trHeight w:val="391" w:hRule="atLeast"/>
          <w:jc w:val="center"/>
        </w:trPr>
        <w:tc>
          <w:tcPr>
            <w:tcW w:w="2936"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1、公务用车购置和维护经费</w:t>
            </w:r>
          </w:p>
        </w:tc>
        <w:tc>
          <w:tcPr>
            <w:tcW w:w="2034" w:type="dxa"/>
            <w:gridSpan w:val="3"/>
            <w:tcBorders>
              <w:top w:val="single" w:color="auto" w:sz="4" w:space="0"/>
              <w:left w:val="nil"/>
              <w:bottom w:val="single" w:color="auto" w:sz="4" w:space="0"/>
              <w:right w:val="single" w:color="000000" w:sz="4" w:space="0"/>
            </w:tcBorders>
            <w:vAlign w:val="center"/>
          </w:tcPr>
          <w:p>
            <w:pPr>
              <w:widowControl/>
              <w:jc w:val="center"/>
              <w:rPr>
                <w:rFonts w:hint="eastAsia"/>
                <w:kern w:val="0"/>
                <w:sz w:val="20"/>
                <w:szCs w:val="20"/>
              </w:rPr>
            </w:pPr>
            <w:r>
              <w:rPr>
                <w:rFonts w:hint="eastAsia"/>
                <w:kern w:val="0"/>
                <w:sz w:val="20"/>
                <w:szCs w:val="20"/>
              </w:rPr>
              <w:t>0</w:t>
            </w:r>
          </w:p>
        </w:tc>
        <w:tc>
          <w:tcPr>
            <w:tcW w:w="2281" w:type="dxa"/>
            <w:gridSpan w:val="2"/>
            <w:tcBorders>
              <w:top w:val="single" w:color="auto" w:sz="4" w:space="0"/>
              <w:left w:val="nil"/>
              <w:bottom w:val="single" w:color="auto" w:sz="4" w:space="0"/>
              <w:right w:val="single" w:color="000000" w:sz="4" w:space="0"/>
            </w:tcBorders>
            <w:vAlign w:val="center"/>
          </w:tcPr>
          <w:p>
            <w:pPr>
              <w:widowControl/>
              <w:jc w:val="center"/>
              <w:rPr>
                <w:rFonts w:hint="eastAsia"/>
                <w:kern w:val="0"/>
                <w:sz w:val="20"/>
                <w:szCs w:val="20"/>
              </w:rPr>
            </w:pPr>
            <w:r>
              <w:rPr>
                <w:rFonts w:hint="eastAsia"/>
                <w:kern w:val="0"/>
                <w:sz w:val="20"/>
                <w:szCs w:val="20"/>
              </w:rPr>
              <w:t>0</w:t>
            </w:r>
          </w:p>
        </w:tc>
        <w:tc>
          <w:tcPr>
            <w:tcW w:w="224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kern w:val="0"/>
                <w:sz w:val="20"/>
                <w:szCs w:val="20"/>
              </w:rPr>
            </w:pPr>
            <w:r>
              <w:rPr>
                <w:rFonts w:hint="eastAsia"/>
                <w:kern w:val="0"/>
                <w:sz w:val="20"/>
                <w:szCs w:val="20"/>
              </w:rPr>
              <w:t>0</w:t>
            </w: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其中：公车购置</w:t>
            </w:r>
          </w:p>
        </w:tc>
        <w:tc>
          <w:tcPr>
            <w:tcW w:w="2034" w:type="dxa"/>
            <w:gridSpan w:val="3"/>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p>
        </w:tc>
        <w:tc>
          <w:tcPr>
            <w:tcW w:w="2281"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p>
        </w:tc>
        <w:tc>
          <w:tcPr>
            <w:tcW w:w="2246"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公车运行维护</w:t>
            </w:r>
          </w:p>
        </w:tc>
        <w:tc>
          <w:tcPr>
            <w:tcW w:w="2034" w:type="dxa"/>
            <w:gridSpan w:val="3"/>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28</w:t>
            </w:r>
          </w:p>
        </w:tc>
        <w:tc>
          <w:tcPr>
            <w:tcW w:w="2281"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28</w:t>
            </w:r>
          </w:p>
        </w:tc>
        <w:tc>
          <w:tcPr>
            <w:tcW w:w="224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kern w:val="0"/>
                <w:sz w:val="20"/>
                <w:szCs w:val="20"/>
              </w:rPr>
            </w:pPr>
            <w:r>
              <w:rPr>
                <w:rFonts w:hint="eastAsia"/>
                <w:kern w:val="0"/>
                <w:sz w:val="20"/>
                <w:szCs w:val="20"/>
              </w:rPr>
              <w:t>28</w:t>
            </w: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2、出国经费</w:t>
            </w:r>
          </w:p>
        </w:tc>
        <w:tc>
          <w:tcPr>
            <w:tcW w:w="2034" w:type="dxa"/>
            <w:gridSpan w:val="3"/>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p>
        </w:tc>
        <w:tc>
          <w:tcPr>
            <w:tcW w:w="2281"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p>
        </w:tc>
        <w:tc>
          <w:tcPr>
            <w:tcW w:w="2246"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3、公务接待</w:t>
            </w:r>
          </w:p>
        </w:tc>
        <w:tc>
          <w:tcPr>
            <w:tcW w:w="2034" w:type="dxa"/>
            <w:gridSpan w:val="3"/>
            <w:tcBorders>
              <w:top w:val="single" w:color="auto" w:sz="4" w:space="0"/>
              <w:left w:val="nil"/>
              <w:bottom w:val="single" w:color="auto" w:sz="4" w:space="0"/>
              <w:right w:val="single" w:color="000000" w:sz="4" w:space="0"/>
            </w:tcBorders>
            <w:vAlign w:val="center"/>
          </w:tcPr>
          <w:p>
            <w:pPr>
              <w:widowControl/>
              <w:jc w:val="center"/>
              <w:rPr>
                <w:rFonts w:hint="eastAsia"/>
                <w:kern w:val="0"/>
                <w:sz w:val="20"/>
                <w:szCs w:val="20"/>
              </w:rPr>
            </w:pPr>
            <w:r>
              <w:rPr>
                <w:rFonts w:hint="eastAsia"/>
                <w:kern w:val="0"/>
                <w:sz w:val="20"/>
                <w:szCs w:val="20"/>
              </w:rPr>
              <w:t>21.63</w:t>
            </w:r>
          </w:p>
        </w:tc>
        <w:tc>
          <w:tcPr>
            <w:tcW w:w="2281" w:type="dxa"/>
            <w:gridSpan w:val="2"/>
            <w:tcBorders>
              <w:top w:val="single" w:color="auto" w:sz="4" w:space="0"/>
              <w:left w:val="nil"/>
              <w:bottom w:val="single" w:color="auto" w:sz="4" w:space="0"/>
              <w:right w:val="single" w:color="000000" w:sz="4" w:space="0"/>
            </w:tcBorders>
            <w:vAlign w:val="center"/>
          </w:tcPr>
          <w:p>
            <w:pPr>
              <w:widowControl/>
              <w:jc w:val="center"/>
              <w:rPr>
                <w:rFonts w:hint="eastAsia"/>
                <w:kern w:val="0"/>
                <w:sz w:val="20"/>
                <w:szCs w:val="20"/>
              </w:rPr>
            </w:pPr>
            <w:r>
              <w:rPr>
                <w:rFonts w:hint="eastAsia"/>
                <w:kern w:val="0"/>
                <w:sz w:val="20"/>
                <w:szCs w:val="20"/>
              </w:rPr>
              <w:t>21.63</w:t>
            </w:r>
          </w:p>
        </w:tc>
        <w:tc>
          <w:tcPr>
            <w:tcW w:w="224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kern w:val="0"/>
                <w:sz w:val="20"/>
                <w:szCs w:val="20"/>
              </w:rPr>
            </w:pPr>
            <w:r>
              <w:rPr>
                <w:rFonts w:hint="eastAsia"/>
                <w:kern w:val="0"/>
                <w:sz w:val="20"/>
                <w:szCs w:val="20"/>
              </w:rPr>
              <w:t>21.63</w:t>
            </w:r>
          </w:p>
        </w:tc>
      </w:tr>
      <w:tr>
        <w:tblPrEx>
          <w:tblLayout w:type="fixed"/>
          <w:tblCellMar>
            <w:top w:w="0" w:type="dxa"/>
            <w:left w:w="108" w:type="dxa"/>
            <w:bottom w:w="0" w:type="dxa"/>
            <w:right w:w="108" w:type="dxa"/>
          </w:tblCellMar>
        </w:tblPrEx>
        <w:trPr>
          <w:trHeight w:val="391" w:hRule="atLeast"/>
          <w:jc w:val="center"/>
        </w:trPr>
        <w:tc>
          <w:tcPr>
            <w:tcW w:w="2936"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项目支出：</w:t>
            </w:r>
          </w:p>
        </w:tc>
        <w:tc>
          <w:tcPr>
            <w:tcW w:w="2034" w:type="dxa"/>
            <w:gridSpan w:val="3"/>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34.68</w:t>
            </w:r>
          </w:p>
        </w:tc>
        <w:tc>
          <w:tcPr>
            <w:tcW w:w="2281"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39.5</w:t>
            </w:r>
          </w:p>
        </w:tc>
        <w:tc>
          <w:tcPr>
            <w:tcW w:w="2246"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36.83</w:t>
            </w: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1、业务工作专项</w:t>
            </w:r>
          </w:p>
        </w:tc>
        <w:tc>
          <w:tcPr>
            <w:tcW w:w="2034" w:type="dxa"/>
            <w:gridSpan w:val="3"/>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34.68</w:t>
            </w:r>
          </w:p>
        </w:tc>
        <w:tc>
          <w:tcPr>
            <w:tcW w:w="2281"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39.5</w:t>
            </w:r>
          </w:p>
        </w:tc>
        <w:tc>
          <w:tcPr>
            <w:tcW w:w="2246"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36.83</w:t>
            </w: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2、运行维护专项</w:t>
            </w:r>
          </w:p>
        </w:tc>
        <w:tc>
          <w:tcPr>
            <w:tcW w:w="2034" w:type="dxa"/>
            <w:gridSpan w:val="3"/>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p>
        </w:tc>
        <w:tc>
          <w:tcPr>
            <w:tcW w:w="2281"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p>
        </w:tc>
        <w:tc>
          <w:tcPr>
            <w:tcW w:w="2246"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xml:space="preserve">          ……</w:t>
            </w:r>
          </w:p>
        </w:tc>
        <w:tc>
          <w:tcPr>
            <w:tcW w:w="203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kern w:val="0"/>
                <w:sz w:val="20"/>
                <w:szCs w:val="20"/>
              </w:rPr>
            </w:pPr>
          </w:p>
        </w:tc>
        <w:tc>
          <w:tcPr>
            <w:tcW w:w="228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kern w:val="0"/>
                <w:sz w:val="20"/>
                <w:szCs w:val="20"/>
              </w:rPr>
            </w:pPr>
          </w:p>
        </w:tc>
        <w:tc>
          <w:tcPr>
            <w:tcW w:w="224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kern w:val="0"/>
                <w:sz w:val="20"/>
                <w:szCs w:val="20"/>
              </w:rPr>
            </w:pP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公用经费</w:t>
            </w:r>
          </w:p>
        </w:tc>
        <w:tc>
          <w:tcPr>
            <w:tcW w:w="203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kern w:val="0"/>
                <w:sz w:val="20"/>
                <w:szCs w:val="20"/>
              </w:rPr>
            </w:pPr>
            <w:r>
              <w:rPr>
                <w:rFonts w:hint="eastAsia"/>
                <w:kern w:val="0"/>
                <w:sz w:val="20"/>
                <w:szCs w:val="20"/>
              </w:rPr>
              <w:t>90.42</w:t>
            </w:r>
          </w:p>
        </w:tc>
        <w:tc>
          <w:tcPr>
            <w:tcW w:w="228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kern w:val="0"/>
                <w:sz w:val="20"/>
                <w:szCs w:val="20"/>
              </w:rPr>
            </w:pPr>
            <w:r>
              <w:rPr>
                <w:rFonts w:hint="eastAsia"/>
                <w:kern w:val="0"/>
                <w:sz w:val="20"/>
                <w:szCs w:val="20"/>
              </w:rPr>
              <w:t>98.99</w:t>
            </w:r>
          </w:p>
        </w:tc>
        <w:tc>
          <w:tcPr>
            <w:tcW w:w="224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kern w:val="0"/>
                <w:sz w:val="20"/>
                <w:szCs w:val="20"/>
              </w:rPr>
            </w:pPr>
            <w:r>
              <w:rPr>
                <w:rFonts w:hint="eastAsia"/>
                <w:kern w:val="0"/>
                <w:sz w:val="20"/>
                <w:szCs w:val="20"/>
              </w:rPr>
              <w:t>98.99</w:t>
            </w:r>
          </w:p>
        </w:tc>
      </w:tr>
      <w:tr>
        <w:tblPrEx>
          <w:tblLayout w:type="fixed"/>
          <w:tblCellMar>
            <w:top w:w="0" w:type="dxa"/>
            <w:left w:w="108" w:type="dxa"/>
            <w:bottom w:w="0" w:type="dxa"/>
            <w:right w:w="108" w:type="dxa"/>
          </w:tblCellMar>
        </w:tblPrEx>
        <w:trPr>
          <w:trHeight w:val="391" w:hRule="atLeast"/>
          <w:jc w:val="center"/>
        </w:trPr>
        <w:tc>
          <w:tcPr>
            <w:tcW w:w="29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xml:space="preserve">    其中：办公经费</w:t>
            </w:r>
          </w:p>
        </w:tc>
        <w:tc>
          <w:tcPr>
            <w:tcW w:w="203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kern w:val="0"/>
                <w:sz w:val="20"/>
                <w:szCs w:val="20"/>
              </w:rPr>
            </w:pPr>
            <w:r>
              <w:rPr>
                <w:rFonts w:hint="eastAsia"/>
                <w:kern w:val="0"/>
                <w:sz w:val="20"/>
                <w:szCs w:val="20"/>
              </w:rPr>
              <w:t>46.3</w:t>
            </w:r>
          </w:p>
        </w:tc>
        <w:tc>
          <w:tcPr>
            <w:tcW w:w="228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kern w:val="0"/>
                <w:sz w:val="20"/>
                <w:szCs w:val="20"/>
              </w:rPr>
            </w:pPr>
            <w:r>
              <w:rPr>
                <w:rFonts w:hint="eastAsia"/>
                <w:kern w:val="0"/>
                <w:sz w:val="20"/>
                <w:szCs w:val="20"/>
              </w:rPr>
              <w:t>53.15</w:t>
            </w:r>
          </w:p>
        </w:tc>
        <w:tc>
          <w:tcPr>
            <w:tcW w:w="224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kern w:val="0"/>
                <w:sz w:val="20"/>
                <w:szCs w:val="20"/>
              </w:rPr>
            </w:pPr>
            <w:r>
              <w:rPr>
                <w:rFonts w:hint="eastAsia"/>
                <w:kern w:val="0"/>
                <w:sz w:val="20"/>
                <w:szCs w:val="20"/>
              </w:rPr>
              <w:t>53.15</w:t>
            </w: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xml:space="preserve">          水费、电费、差旅费</w:t>
            </w:r>
          </w:p>
        </w:tc>
        <w:tc>
          <w:tcPr>
            <w:tcW w:w="203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kern w:val="0"/>
                <w:sz w:val="20"/>
                <w:szCs w:val="20"/>
              </w:rPr>
            </w:pPr>
            <w:r>
              <w:rPr>
                <w:rFonts w:hint="eastAsia"/>
                <w:kern w:val="0"/>
                <w:sz w:val="20"/>
                <w:szCs w:val="20"/>
              </w:rPr>
              <w:t>21.6</w:t>
            </w:r>
          </w:p>
        </w:tc>
        <w:tc>
          <w:tcPr>
            <w:tcW w:w="228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kern w:val="0"/>
                <w:sz w:val="20"/>
                <w:szCs w:val="20"/>
              </w:rPr>
            </w:pPr>
            <w:r>
              <w:rPr>
                <w:rFonts w:hint="eastAsia"/>
                <w:kern w:val="0"/>
                <w:sz w:val="20"/>
                <w:szCs w:val="20"/>
              </w:rPr>
              <w:t>22.2</w:t>
            </w:r>
          </w:p>
        </w:tc>
        <w:tc>
          <w:tcPr>
            <w:tcW w:w="224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kern w:val="0"/>
                <w:sz w:val="20"/>
                <w:szCs w:val="20"/>
              </w:rPr>
            </w:pPr>
            <w:r>
              <w:rPr>
                <w:rFonts w:hint="eastAsia"/>
                <w:kern w:val="0"/>
                <w:sz w:val="20"/>
                <w:szCs w:val="20"/>
              </w:rPr>
              <w:t>22.2</w:t>
            </w: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 xml:space="preserve">          会议费、培训费</w:t>
            </w:r>
          </w:p>
        </w:tc>
        <w:tc>
          <w:tcPr>
            <w:tcW w:w="203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kern w:val="0"/>
                <w:sz w:val="20"/>
                <w:szCs w:val="20"/>
              </w:rPr>
            </w:pPr>
            <w:r>
              <w:rPr>
                <w:rFonts w:hint="eastAsia"/>
                <w:kern w:val="0"/>
                <w:sz w:val="20"/>
                <w:szCs w:val="20"/>
              </w:rPr>
              <w:t>22.52</w:t>
            </w:r>
          </w:p>
        </w:tc>
        <w:tc>
          <w:tcPr>
            <w:tcW w:w="228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kern w:val="0"/>
                <w:sz w:val="20"/>
                <w:szCs w:val="20"/>
              </w:rPr>
            </w:pPr>
            <w:r>
              <w:rPr>
                <w:rFonts w:hint="eastAsia"/>
                <w:kern w:val="0"/>
                <w:sz w:val="20"/>
                <w:szCs w:val="20"/>
              </w:rPr>
              <w:t>23.64</w:t>
            </w:r>
          </w:p>
        </w:tc>
        <w:tc>
          <w:tcPr>
            <w:tcW w:w="224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kern w:val="0"/>
                <w:sz w:val="20"/>
                <w:szCs w:val="20"/>
              </w:rPr>
            </w:pPr>
            <w:r>
              <w:rPr>
                <w:rFonts w:hint="eastAsia"/>
                <w:kern w:val="0"/>
                <w:sz w:val="20"/>
                <w:szCs w:val="20"/>
              </w:rPr>
              <w:t>23.64</w:t>
            </w: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政府采购金额</w:t>
            </w:r>
          </w:p>
        </w:tc>
        <w:tc>
          <w:tcPr>
            <w:tcW w:w="2034" w:type="dxa"/>
            <w:gridSpan w:val="3"/>
            <w:tcBorders>
              <w:top w:val="single" w:color="auto" w:sz="4" w:space="0"/>
              <w:left w:val="nil"/>
              <w:bottom w:val="single" w:color="auto" w:sz="4" w:space="0"/>
              <w:right w:val="single" w:color="000000" w:sz="4" w:space="0"/>
            </w:tcBorders>
            <w:vAlign w:val="center"/>
          </w:tcPr>
          <w:p>
            <w:pPr>
              <w:widowControl/>
              <w:jc w:val="center"/>
              <w:rPr>
                <w:rFonts w:hint="eastAsia"/>
                <w:kern w:val="0"/>
                <w:sz w:val="20"/>
                <w:szCs w:val="20"/>
              </w:rPr>
            </w:pPr>
            <w:r>
              <w:rPr>
                <w:rFonts w:hint="eastAsia"/>
                <w:kern w:val="0"/>
                <w:sz w:val="20"/>
                <w:szCs w:val="20"/>
              </w:rPr>
              <w:t>0</w:t>
            </w:r>
          </w:p>
        </w:tc>
        <w:tc>
          <w:tcPr>
            <w:tcW w:w="2281" w:type="dxa"/>
            <w:gridSpan w:val="2"/>
            <w:tcBorders>
              <w:top w:val="single" w:color="auto" w:sz="4" w:space="0"/>
              <w:left w:val="nil"/>
              <w:bottom w:val="single" w:color="auto" w:sz="4" w:space="0"/>
              <w:right w:val="single" w:color="000000" w:sz="4" w:space="0"/>
            </w:tcBorders>
            <w:vAlign w:val="center"/>
          </w:tcPr>
          <w:p>
            <w:pPr>
              <w:widowControl/>
              <w:jc w:val="center"/>
              <w:rPr>
                <w:rFonts w:hint="eastAsia"/>
                <w:kern w:val="0"/>
                <w:sz w:val="20"/>
                <w:szCs w:val="20"/>
              </w:rPr>
            </w:pPr>
            <w:r>
              <w:rPr>
                <w:rFonts w:hint="eastAsia"/>
                <w:kern w:val="0"/>
                <w:sz w:val="20"/>
                <w:szCs w:val="20"/>
              </w:rPr>
              <w:t>0</w:t>
            </w:r>
          </w:p>
        </w:tc>
        <w:tc>
          <w:tcPr>
            <w:tcW w:w="224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kern w:val="0"/>
                <w:sz w:val="20"/>
                <w:szCs w:val="20"/>
              </w:rPr>
            </w:pPr>
            <w:r>
              <w:rPr>
                <w:rFonts w:hint="eastAsia"/>
                <w:kern w:val="0"/>
                <w:sz w:val="20"/>
                <w:szCs w:val="20"/>
              </w:rPr>
              <w:t>0</w:t>
            </w:r>
          </w:p>
        </w:tc>
      </w:tr>
      <w:tr>
        <w:tblPrEx>
          <w:tblLayout w:type="fixed"/>
          <w:tblCellMar>
            <w:top w:w="0" w:type="dxa"/>
            <w:left w:w="108" w:type="dxa"/>
            <w:bottom w:w="0" w:type="dxa"/>
            <w:right w:w="108" w:type="dxa"/>
          </w:tblCellMar>
        </w:tblPrEx>
        <w:trPr>
          <w:trHeight w:val="468" w:hRule="atLeast"/>
          <w:jc w:val="center"/>
        </w:trPr>
        <w:tc>
          <w:tcPr>
            <w:tcW w:w="2936"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部门整体支出预算调整 </w:t>
            </w:r>
          </w:p>
        </w:tc>
        <w:tc>
          <w:tcPr>
            <w:tcW w:w="2034" w:type="dxa"/>
            <w:gridSpan w:val="3"/>
            <w:tcBorders>
              <w:top w:val="single" w:color="auto" w:sz="4" w:space="0"/>
              <w:left w:val="nil"/>
              <w:bottom w:val="single" w:color="auto" w:sz="4" w:space="0"/>
              <w:right w:val="single" w:color="000000" w:sz="4" w:space="0"/>
            </w:tcBorders>
            <w:vAlign w:val="top"/>
          </w:tcPr>
          <w:p>
            <w:r>
              <w:rPr>
                <w:rFonts w:hint="eastAsia"/>
              </w:rPr>
              <w:t>0</w:t>
            </w:r>
          </w:p>
        </w:tc>
        <w:tc>
          <w:tcPr>
            <w:tcW w:w="2281" w:type="dxa"/>
            <w:gridSpan w:val="2"/>
            <w:tcBorders>
              <w:top w:val="single" w:color="auto" w:sz="4" w:space="0"/>
              <w:left w:val="nil"/>
              <w:bottom w:val="single" w:color="auto" w:sz="4" w:space="0"/>
              <w:right w:val="single" w:color="000000" w:sz="4" w:space="0"/>
            </w:tcBorders>
            <w:vAlign w:val="top"/>
          </w:tcPr>
          <w:p>
            <w:r>
              <w:rPr>
                <w:rFonts w:hint="eastAsia"/>
              </w:rPr>
              <w:t>0</w:t>
            </w:r>
          </w:p>
        </w:tc>
        <w:tc>
          <w:tcPr>
            <w:tcW w:w="2246" w:type="dxa"/>
            <w:gridSpan w:val="2"/>
            <w:tcBorders>
              <w:top w:val="single" w:color="auto" w:sz="4" w:space="0"/>
              <w:left w:val="nil"/>
              <w:bottom w:val="single" w:color="auto" w:sz="4" w:space="0"/>
              <w:right w:val="single" w:color="000000" w:sz="4" w:space="0"/>
            </w:tcBorders>
            <w:vAlign w:val="top"/>
          </w:tcPr>
          <w:p>
            <w:r>
              <w:rPr>
                <w:rFonts w:hint="eastAsia"/>
              </w:rPr>
              <w:t>0</w:t>
            </w:r>
          </w:p>
        </w:tc>
      </w:tr>
      <w:tr>
        <w:tblPrEx>
          <w:tblLayout w:type="fixed"/>
          <w:tblCellMar>
            <w:top w:w="0" w:type="dxa"/>
            <w:left w:w="108" w:type="dxa"/>
            <w:bottom w:w="0" w:type="dxa"/>
            <w:right w:w="108" w:type="dxa"/>
          </w:tblCellMar>
        </w:tblPrEx>
        <w:trPr>
          <w:trHeight w:val="759" w:hRule="atLeast"/>
          <w:jc w:val="center"/>
        </w:trPr>
        <w:tc>
          <w:tcPr>
            <w:tcW w:w="2936" w:type="dxa"/>
            <w:vMerge w:val="restar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楼堂馆所控制情况</w:t>
            </w:r>
            <w:r>
              <w:rPr>
                <w:kern w:val="0"/>
                <w:sz w:val="20"/>
                <w:szCs w:val="20"/>
              </w:rPr>
              <w:br w:type="textWrapping"/>
            </w:r>
            <w:r>
              <w:rPr>
                <w:kern w:val="0"/>
                <w:sz w:val="20"/>
                <w:szCs w:val="20"/>
              </w:rPr>
              <w:t>（2016年完工项目）</w:t>
            </w:r>
          </w:p>
        </w:tc>
        <w:tc>
          <w:tcPr>
            <w:tcW w:w="1196" w:type="dxa"/>
            <w:gridSpan w:val="2"/>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批复规模</w:t>
            </w:r>
            <w:r>
              <w:rPr>
                <w:b/>
                <w:bCs/>
                <w:kern w:val="0"/>
                <w:sz w:val="20"/>
                <w:szCs w:val="20"/>
              </w:rPr>
              <w:br w:type="textWrapping"/>
            </w:r>
            <w:r>
              <w:rPr>
                <w:b/>
                <w:bCs/>
                <w:kern w:val="0"/>
                <w:sz w:val="20"/>
                <w:szCs w:val="20"/>
              </w:rPr>
              <w:t>（㎡）</w:t>
            </w:r>
          </w:p>
        </w:tc>
        <w:tc>
          <w:tcPr>
            <w:tcW w:w="838"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实际规模（㎡）</w:t>
            </w:r>
          </w:p>
        </w:tc>
        <w:tc>
          <w:tcPr>
            <w:tcW w:w="1147" w:type="dxa"/>
            <w:tcBorders>
              <w:top w:val="nil"/>
              <w:left w:val="nil"/>
              <w:bottom w:val="single" w:color="auto" w:sz="4" w:space="0"/>
              <w:right w:val="single" w:color="auto" w:sz="4" w:space="0"/>
            </w:tcBorders>
            <w:vAlign w:val="center"/>
          </w:tcPr>
          <w:p>
            <w:pPr>
              <w:widowControl/>
              <w:jc w:val="center"/>
              <w:rPr>
                <w:rFonts w:hint="eastAsia"/>
                <w:b/>
                <w:bCs/>
                <w:kern w:val="0"/>
                <w:sz w:val="20"/>
                <w:szCs w:val="20"/>
              </w:rPr>
            </w:pPr>
            <w:r>
              <w:rPr>
                <w:b/>
                <w:bCs/>
                <w:kern w:val="0"/>
                <w:sz w:val="20"/>
                <w:szCs w:val="20"/>
              </w:rPr>
              <w:t>规模控</w:t>
            </w:r>
          </w:p>
          <w:p>
            <w:pPr>
              <w:widowControl/>
              <w:jc w:val="center"/>
              <w:rPr>
                <w:b/>
                <w:bCs/>
                <w:kern w:val="0"/>
                <w:sz w:val="20"/>
                <w:szCs w:val="20"/>
              </w:rPr>
            </w:pPr>
            <w:r>
              <w:rPr>
                <w:b/>
                <w:bCs/>
                <w:kern w:val="0"/>
                <w:sz w:val="20"/>
                <w:szCs w:val="20"/>
              </w:rPr>
              <w:t>制率</w:t>
            </w:r>
          </w:p>
        </w:tc>
        <w:tc>
          <w:tcPr>
            <w:tcW w:w="1134"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预算投资（万元）</w:t>
            </w:r>
          </w:p>
        </w:tc>
        <w:tc>
          <w:tcPr>
            <w:tcW w:w="1167" w:type="dxa"/>
            <w:tcBorders>
              <w:top w:val="nil"/>
              <w:left w:val="nil"/>
              <w:bottom w:val="single" w:color="auto" w:sz="4" w:space="0"/>
              <w:right w:val="single" w:color="auto" w:sz="4" w:space="0"/>
            </w:tcBorders>
            <w:vAlign w:val="center"/>
          </w:tcPr>
          <w:p>
            <w:pPr>
              <w:widowControl/>
              <w:jc w:val="center"/>
              <w:rPr>
                <w:rFonts w:hint="eastAsia"/>
                <w:b/>
                <w:bCs/>
                <w:kern w:val="0"/>
                <w:sz w:val="20"/>
                <w:szCs w:val="20"/>
              </w:rPr>
            </w:pPr>
            <w:r>
              <w:rPr>
                <w:b/>
                <w:bCs/>
                <w:kern w:val="0"/>
                <w:sz w:val="20"/>
                <w:szCs w:val="20"/>
              </w:rPr>
              <w:t>实际投资</w:t>
            </w:r>
          </w:p>
          <w:p>
            <w:pPr>
              <w:widowControl/>
              <w:jc w:val="center"/>
              <w:rPr>
                <w:b/>
                <w:bCs/>
                <w:kern w:val="0"/>
                <w:sz w:val="20"/>
                <w:szCs w:val="20"/>
              </w:rPr>
            </w:pPr>
            <w:r>
              <w:rPr>
                <w:b/>
                <w:bCs/>
                <w:kern w:val="0"/>
                <w:sz w:val="20"/>
                <w:szCs w:val="20"/>
              </w:rPr>
              <w:t>（万元）</w:t>
            </w:r>
          </w:p>
        </w:tc>
        <w:tc>
          <w:tcPr>
            <w:tcW w:w="1079" w:type="dxa"/>
            <w:tcBorders>
              <w:top w:val="nil"/>
              <w:left w:val="nil"/>
              <w:bottom w:val="single" w:color="auto" w:sz="4" w:space="0"/>
              <w:right w:val="single" w:color="auto" w:sz="4" w:space="0"/>
            </w:tcBorders>
            <w:vAlign w:val="center"/>
          </w:tcPr>
          <w:p>
            <w:pPr>
              <w:widowControl/>
              <w:jc w:val="center"/>
              <w:rPr>
                <w:b/>
                <w:bCs/>
                <w:kern w:val="0"/>
                <w:sz w:val="20"/>
                <w:szCs w:val="20"/>
              </w:rPr>
            </w:pPr>
            <w:r>
              <w:rPr>
                <w:b/>
                <w:bCs/>
                <w:kern w:val="0"/>
                <w:sz w:val="20"/>
                <w:szCs w:val="20"/>
              </w:rPr>
              <w:t>投资概算控制率</w:t>
            </w:r>
          </w:p>
        </w:tc>
      </w:tr>
      <w:tr>
        <w:tblPrEx>
          <w:tblLayout w:type="fixed"/>
          <w:tblCellMar>
            <w:top w:w="0" w:type="dxa"/>
            <w:left w:w="108" w:type="dxa"/>
            <w:bottom w:w="0" w:type="dxa"/>
            <w:right w:w="108" w:type="dxa"/>
          </w:tblCellMar>
        </w:tblPrEx>
        <w:trPr>
          <w:trHeight w:val="177" w:hRule="atLeast"/>
          <w:jc w:val="center"/>
        </w:trPr>
        <w:tc>
          <w:tcPr>
            <w:tcW w:w="2936"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190" w:type="dxa"/>
            <w:tcBorders>
              <w:top w:val="nil"/>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844" w:type="dxa"/>
            <w:gridSpan w:val="2"/>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0</w:t>
            </w:r>
          </w:p>
        </w:tc>
        <w:tc>
          <w:tcPr>
            <w:tcW w:w="1147" w:type="dxa"/>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0</w:t>
            </w:r>
          </w:p>
        </w:tc>
        <w:tc>
          <w:tcPr>
            <w:tcW w:w="1134" w:type="dxa"/>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0</w:t>
            </w:r>
          </w:p>
        </w:tc>
        <w:tc>
          <w:tcPr>
            <w:tcW w:w="1167" w:type="dxa"/>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0</w:t>
            </w:r>
          </w:p>
        </w:tc>
        <w:tc>
          <w:tcPr>
            <w:tcW w:w="1079" w:type="dxa"/>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0</w:t>
            </w:r>
          </w:p>
        </w:tc>
      </w:tr>
      <w:tr>
        <w:tblPrEx>
          <w:tblLayout w:type="fixed"/>
          <w:tblCellMar>
            <w:top w:w="0" w:type="dxa"/>
            <w:left w:w="108" w:type="dxa"/>
            <w:bottom w:w="0" w:type="dxa"/>
            <w:right w:w="108" w:type="dxa"/>
          </w:tblCellMar>
        </w:tblPrEx>
        <w:trPr>
          <w:trHeight w:val="371" w:hRule="atLeast"/>
          <w:jc w:val="center"/>
        </w:trPr>
        <w:tc>
          <w:tcPr>
            <w:tcW w:w="2936"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厉行节约保障措施</w:t>
            </w:r>
          </w:p>
        </w:tc>
        <w:tc>
          <w:tcPr>
            <w:tcW w:w="6561" w:type="dxa"/>
            <w:gridSpan w:val="7"/>
            <w:tcBorders>
              <w:top w:val="single" w:color="auto" w:sz="4" w:space="0"/>
              <w:left w:val="nil"/>
              <w:bottom w:val="single" w:color="auto" w:sz="4" w:space="0"/>
              <w:right w:val="single" w:color="000000" w:sz="4" w:space="0"/>
            </w:tcBorders>
            <w:vAlign w:val="center"/>
          </w:tcPr>
          <w:p>
            <w:pPr>
              <w:widowControl/>
              <w:jc w:val="center"/>
              <w:rPr>
                <w:kern w:val="0"/>
                <w:sz w:val="24"/>
              </w:rPr>
            </w:pPr>
            <w:r>
              <w:rPr>
                <w:rFonts w:hint="eastAsia"/>
                <w:kern w:val="0"/>
                <w:sz w:val="24"/>
              </w:rPr>
              <w:t>压缩开支，加强公务用车管理，进一步规范公务接待活动。</w:t>
            </w:r>
            <w:r>
              <w:rPr>
                <w:kern w:val="0"/>
                <w:sz w:val="24"/>
              </w:rPr>
              <w:t>　</w:t>
            </w:r>
          </w:p>
        </w:tc>
      </w:tr>
    </w:tbl>
    <w:p>
      <w:pPr>
        <w:widowControl/>
        <w:jc w:val="left"/>
        <w:rPr>
          <w:rFonts w:hint="eastAsia" w:ascii="仿宋_GB2312" w:hAnsi="宋体" w:cs="宋体"/>
          <w:kern w:val="0"/>
          <w:sz w:val="22"/>
        </w:rPr>
      </w:pPr>
      <w:r>
        <w:rPr>
          <w:rFonts w:hint="eastAsia" w:ascii="仿宋_GB2312" w:hAnsi="宋体" w:cs="宋体"/>
          <w:kern w:val="0"/>
          <w:sz w:val="22"/>
        </w:rPr>
        <w:t>说明：“项目支出”需要填报除专项资金和基本支出以外的所有项目情况，包括业务工作项目、运行维护项目等；“公用经费”填报基本</w:t>
      </w:r>
      <w:bookmarkStart w:id="0" w:name="_GoBack"/>
      <w:bookmarkEnd w:id="0"/>
      <w:r>
        <w:rPr>
          <w:rFonts w:hint="eastAsia" w:ascii="仿宋_GB2312" w:hAnsi="宋体" w:cs="宋体"/>
          <w:kern w:val="0"/>
          <w:sz w:val="22"/>
        </w:rPr>
        <w:t>支出中的一般商品和服务支出。</w:t>
      </w:r>
    </w:p>
    <w:p>
      <w:pPr>
        <w:widowControl/>
        <w:ind w:firstLine="660" w:firstLineChars="300"/>
        <w:jc w:val="left"/>
        <w:rPr>
          <w:rFonts w:hint="eastAsia" w:ascii="仿宋_GB2312" w:hAnsi="宋体" w:cs="宋体"/>
          <w:kern w:val="0"/>
          <w:sz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C60EE"/>
    <w:rsid w:val="334C60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2017-11-12T12:32:00Z</dcterms:created>
  <dc:creator>Administrator</dc:creator>
  <cp:lastModifiedBy>Administrator</cp:lastModifiedBy>
  <dcterms:modified xsi:type="dcterms:W3CDTF">2017-11-12T12:32:58Z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