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大标宋简体" w:eastAsia="方正大标宋简体"/>
          <w:b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b/>
          <w:sz w:val="44"/>
          <w:szCs w:val="44"/>
        </w:rPr>
        <w:t>中华人民共和国残疾评定表（一）</w:t>
      </w:r>
      <w:bookmarkEnd w:id="0"/>
    </w:p>
    <w:p>
      <w:pPr>
        <w:spacing w:line="200" w:lineRule="exact"/>
        <w:jc w:val="center"/>
        <w:rPr>
          <w:rFonts w:hint="eastAsia"/>
          <w:u w:val="single"/>
        </w:rPr>
      </w:pPr>
    </w:p>
    <w:tbl>
      <w:tblPr>
        <w:tblStyle w:val="3"/>
        <w:tblpPr w:leftFromText="180" w:rightFromText="180" w:vertAnchor="text" w:horzAnchor="margin" w:tblpXSpec="right" w:tblpY="114"/>
        <w:tblW w:w="1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548" w:type="dxa"/>
            <w:vAlign w:val="top"/>
          </w:tcPr>
          <w:p>
            <w:pPr>
              <w:spacing w:line="360" w:lineRule="auto"/>
              <w:jc w:val="center"/>
            </w:pPr>
          </w:p>
          <w:p>
            <w:pPr>
              <w:tabs>
                <w:tab w:val="left" w:pos="645"/>
              </w:tabs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</w:p>
          <w:p>
            <w:pPr>
              <w:tabs>
                <w:tab w:val="left" w:pos="645"/>
              </w:tabs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（2寸近照）</w:t>
            </w:r>
          </w:p>
        </w:tc>
      </w:tr>
    </w:tbl>
    <w:p>
      <w:pPr>
        <w:spacing w:line="360" w:lineRule="auto"/>
        <w:rPr>
          <w:rFonts w:hint="eastAsia"/>
          <w:u w:val="single"/>
        </w:rPr>
      </w:pPr>
      <w:r>
        <w:rPr>
          <w:rFonts w:hint="eastAsia"/>
          <w:u w:val="single"/>
        </w:rPr>
        <w:t>湖南省永兴县</w:t>
      </w:r>
    </w:p>
    <w:p>
      <w:pPr>
        <w:spacing w:line="360" w:lineRule="auto"/>
        <w:rPr>
          <w:rFonts w:hint="eastAsia"/>
          <w:spacing w:val="20"/>
        </w:rPr>
      </w:pPr>
      <w:r>
        <w:rPr>
          <w:rFonts w:hint="eastAsia"/>
          <w:spacing w:val="20"/>
        </w:rPr>
        <w:t>申请人姓名：</w:t>
      </w:r>
      <w:r>
        <w:rPr>
          <w:rFonts w:hint="eastAsia"/>
          <w:spacing w:val="20"/>
          <w:u w:val="single"/>
        </w:rPr>
        <w:t xml:space="preserve">                </w:t>
      </w:r>
      <w:r>
        <w:rPr>
          <w:rFonts w:hint="eastAsia"/>
          <w:spacing w:val="20"/>
        </w:rPr>
        <w:t xml:space="preserve">       </w:t>
      </w:r>
    </w:p>
    <w:p>
      <w:pPr>
        <w:spacing w:line="360" w:lineRule="auto"/>
        <w:rPr>
          <w:rFonts w:hint="eastAsia"/>
          <w:spacing w:val="20"/>
        </w:rPr>
      </w:pPr>
      <w:r>
        <w:rPr>
          <w:rFonts w:hint="eastAsia"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25400</wp:posOffset>
                </wp:positionV>
                <wp:extent cx="3194050" cy="370840"/>
                <wp:effectExtent l="4445" t="4445" r="2095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500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pt;margin-top:2pt;height:29.2pt;width:251.5pt;z-index:251668480;mso-width-relative:page;mso-height-relative:page;" stroked="t" coordsize="21600,21600" o:gfxdata="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MbH81QAAAAgBAAAPAAAAAAAAAAEAIAAAACIAAABkcnMvZG93bnJldi54&#10;bWxQSwECFAAUAAAACACHTuJAnXUcZv0BAAAMBAAADgAAAAAAAAABACAAAAAkAQAAZHJzL2Uyb0Rv&#10;Yy54bWxQSwUGAAAAAAYABgBZAQAAkwUAAAAA&#10;">
                <v:path/>
                <v:fill focussize="0,0"/>
                <v:stroke color="#FFFFFF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500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</w:trPr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pacing w:val="20"/>
        </w:rPr>
        <w:t>申请人身份证：</w:t>
      </w:r>
    </w:p>
    <w:p>
      <w:pPr>
        <w:spacing w:line="200" w:lineRule="exact"/>
        <w:rPr>
          <w:rFonts w:hint="eastAsia"/>
          <w:spacing w:val="80"/>
        </w:rPr>
      </w:pPr>
    </w:p>
    <w:p>
      <w:pPr>
        <w:spacing w:line="360" w:lineRule="auto"/>
        <w:rPr>
          <w:rFonts w:hint="eastAsia"/>
          <w:spacing w:val="20"/>
        </w:rPr>
      </w:pPr>
      <w:r>
        <w:rPr>
          <w:rFonts w:hint="eastAsia"/>
          <w:spacing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48260</wp:posOffset>
                </wp:positionV>
                <wp:extent cx="3194050" cy="382270"/>
                <wp:effectExtent l="4445" t="4445" r="20955" b="1333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5027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7pt;margin-top:3.8pt;height:30.1pt;width:251.5pt;z-index:251669504;mso-width-relative:page;mso-height-relative:page;" stroked="t" coordsize="21600,21600" o:gfxdata="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rxD41QAAAAgBAAAPAAAAAAAAAAEAIAAAACIAAABkcnMvZG93bnJldi54&#10;bWxQSwECFAAUAAAACACHTuJAP5GcR/0BAAAMBAAADgAAAAAAAAABACAAAAAkAQAAZHJzL2Uyb0Rv&#10;Yy54bWxQSwUGAAAAAAYABgBZAQAAkwUAAAAA&#10;">
                <v:path/>
                <v:fill focussize="0,0"/>
                <v:stroke color="#FFFFFF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5027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pacing w:val="80"/>
        </w:rPr>
        <w:t>联系电话</w:t>
      </w:r>
      <w:r>
        <w:rPr>
          <w:rFonts w:hint="eastAsia"/>
          <w:spacing w:val="20"/>
        </w:rPr>
        <w:t>：</w:t>
      </w:r>
    </w:p>
    <w:p>
      <w:pPr>
        <w:spacing w:line="200" w:lineRule="exact"/>
        <w:jc w:val="center"/>
        <w:rPr>
          <w:rFonts w:hint="eastAsia"/>
          <w:sz w:val="18"/>
          <w:szCs w:val="18"/>
        </w:rPr>
      </w:pPr>
    </w:p>
    <w:p>
      <w:pPr>
        <w:spacing w:line="200" w:lineRule="exact"/>
        <w:jc w:val="center"/>
        <w:rPr>
          <w:rFonts w:hint="eastAsia"/>
          <w:sz w:val="18"/>
          <w:szCs w:val="18"/>
        </w:rPr>
      </w:pPr>
    </w:p>
    <w:tbl>
      <w:tblPr>
        <w:tblStyle w:val="4"/>
        <w:tblW w:w="99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152"/>
        <w:gridCol w:w="705"/>
        <w:gridCol w:w="706"/>
        <w:gridCol w:w="706"/>
        <w:gridCol w:w="692"/>
        <w:gridCol w:w="14"/>
        <w:gridCol w:w="706"/>
        <w:gridCol w:w="4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致残主要原因（不超过两项）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003" w:type="dxa"/>
            <w:vMerge w:val="restart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1、视力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残疾</w:t>
            </w:r>
          </w:p>
        </w:tc>
        <w:tc>
          <w:tcPr>
            <w:tcW w:w="1152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1、一级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2、二级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3、三级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4、四级</w:t>
            </w:r>
          </w:p>
        </w:tc>
        <w:tc>
          <w:tcPr>
            <w:tcW w:w="7799" w:type="dxa"/>
            <w:gridSpan w:val="7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1、遗传、先天异常或发育障碍  5、角膜病               9、弱视     13、原因不明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2、白内障                    6、视神经病变           10、外伤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3、青光眼                    7、视网膜、色素膜病变   11、中毒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4、沙眼                      8、屈光不正             12、其他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51" w:type="dxa"/>
            <w:gridSpan w:val="8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矫正视力：右眼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    视野：右眼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003" w:type="dxa"/>
            <w:vMerge w:val="restart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2、听力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残疾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1、一级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2、二级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3、三级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4、四级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1、遗传                 5、全身性疾病        9、新生儿窒息      13、噪声和爆震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2、母孕期病毒感染       6、中耳炎           10、高胆红素血症    14、其他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3、传染性疾病           7、老年性耳聋       11、药物中毒        15、原因不明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4、自身免疫缺陷性疾病   8、早产和低体重     12、创伤或意外伤害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0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测试耳</w:t>
            </w:r>
          </w:p>
        </w:tc>
        <w:tc>
          <w:tcPr>
            <w:tcW w:w="705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706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</w:t>
            </w: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HZ</w:t>
            </w:r>
          </w:p>
        </w:tc>
        <w:tc>
          <w:tcPr>
            <w:tcW w:w="4270" w:type="dxa"/>
            <w:vMerge w:val="restart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平均听力损失：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1、&gt;90 dB HL  2、&gt;80 dB HL  3、&gt;60dB HL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4、&gt;40dB HL  5、待诊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  <w:u w:val="single"/>
                <w:bdr w:val="single" w:color="auto" w:sz="4" w:space="0"/>
              </w:rPr>
            </w:pPr>
            <w:r>
              <w:rPr>
                <w:rFonts w:hint="eastAsia"/>
                <w:sz w:val="18"/>
                <w:szCs w:val="18"/>
              </w:rPr>
              <w:t>伴随言语能力情况：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>
            <w:pPr>
              <w:spacing w:line="300" w:lineRule="exact"/>
              <w:rPr>
                <w:rFonts w:hint="eastAsia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1、无听觉言语功能    2、基本无听觉言语功能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3、听觉言语交流障碍  4、有一定的听觉言语功能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右耳</w:t>
            </w:r>
          </w:p>
        </w:tc>
        <w:tc>
          <w:tcPr>
            <w:tcW w:w="705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dBHL</w:t>
            </w:r>
          </w:p>
        </w:tc>
        <w:tc>
          <w:tcPr>
            <w:tcW w:w="4270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左耳</w:t>
            </w:r>
          </w:p>
        </w:tc>
        <w:tc>
          <w:tcPr>
            <w:tcW w:w="705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dBHL</w:t>
            </w:r>
          </w:p>
        </w:tc>
        <w:tc>
          <w:tcPr>
            <w:tcW w:w="4270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1" w:type="dxa"/>
            <w:gridSpan w:val="7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本底噪音：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dB(A)</w:t>
            </w:r>
          </w:p>
        </w:tc>
        <w:tc>
          <w:tcPr>
            <w:tcW w:w="4270" w:type="dxa"/>
            <w:vMerge w:val="continue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003" w:type="dxa"/>
            <w:vMerge w:val="restart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3、言语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残疾</w:t>
            </w:r>
          </w:p>
        </w:tc>
        <w:tc>
          <w:tcPr>
            <w:tcW w:w="1152" w:type="dxa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1、一级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2、二级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3、三级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4、四级</w:t>
            </w:r>
          </w:p>
        </w:tc>
        <w:tc>
          <w:tcPr>
            <w:tcW w:w="7799" w:type="dxa"/>
            <w:gridSpan w:val="7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1、唐氏综合症             7、脑梗死           13、帕金森氏病       19、癫痫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2、脑性瘫痪               8、脑出血           14、多发性硬化       20、CO中毒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3、新生儿病理性黄疸       9、脑炎             15、脊髓侧索硬化     21、其他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4、早产、低体重和过期产   10、脑囊虫病        16、脑外伤           22、原因不明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5、腭裂                   11、喉、舌疾病术后  17、产伤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6、智力低下               12、听力障碍        18、孤独症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003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51" w:type="dxa"/>
            <w:gridSpan w:val="8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障碍类型：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失语  2、运动性构音障碍  3、器官结构异常所致的构音障碍 4、发声障碍  5、儿童言语发育迟滞  </w:t>
            </w:r>
          </w:p>
          <w:p>
            <w:pPr>
              <w:tabs>
                <w:tab w:val="left" w:pos="360"/>
              </w:tabs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6、听力障碍所致的语言障碍    7、口吃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语音清晰度：1、≤10%    2、≤25%      3、≤45%      4、≤65%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言语能力：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1、不会说话或虽能说，说不出        2、只会说几个单词或连贯说话很困难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3、只会讲少数短句短语或连贯说话困难  4、初步对话，词少，不流畅     </w:t>
            </w:r>
          </w:p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5、基本上能交谈，不太清楚            6、说话正常，声调尚佳                7、其他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8951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评定意见：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评定医师：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医院公章</w:t>
            </w:r>
          </w:p>
          <w:p>
            <w:pPr>
              <w:spacing w:line="360" w:lineRule="auto"/>
              <w:ind w:firstLine="5850" w:firstLineChars="3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厅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8951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初审意见：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38"/>
                <w:szCs w:val="18"/>
              </w:rPr>
              <w:t>认定为     残疾    级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初审人：                                    </w:t>
            </w:r>
          </w:p>
          <w:p>
            <w:pPr>
              <w:spacing w:line="360" w:lineRule="auto"/>
              <w:ind w:firstLine="3870" w:firstLineChars="2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3961" w:type="dxa"/>
            <w:gridSpan w:val="5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ind w:firstLine="2160" w:firstLineChars="1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  <w:p>
            <w:pPr>
              <w:spacing w:line="360" w:lineRule="auto"/>
              <w:ind w:firstLine="1710" w:firstLineChars="9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  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4270" w:type="dxa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ind w:firstLine="2160" w:firstLineChars="1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  <w:p>
            <w:pPr>
              <w:spacing w:line="360" w:lineRule="auto"/>
              <w:ind w:firstLine="1800" w:firstLineChars="10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8951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1400" w:firstLineChars="500"/>
        <w:rPr>
          <w:rFonts w:ascii="仿宋_GB2312" w:eastAsia="仿宋_GB2312"/>
          <w:color w:val="000000"/>
          <w:sz w:val="28"/>
          <w:szCs w:val="28"/>
        </w:rPr>
        <w:sectPr>
          <w:pgSz w:w="11906" w:h="16838"/>
          <w:pgMar w:top="1134" w:right="1588" w:bottom="1134" w:left="1588" w:header="851" w:footer="1247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56815"/>
    <w:rsid w:val="19356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2017-11-24T03:18:00Z</dcterms:created>
  <dc:creator>wery</dc:creator>
  <cp:lastModifiedBy>wery</cp:lastModifiedBy>
  <dcterms:modified xsi:type="dcterms:W3CDTF">2017-11-24T03:19:10Z</dcterms:modified>
  <dc:title>中华人民共和国残疾评定表（一）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