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20"/>
        </w:tabs>
        <w:spacing w:line="360" w:lineRule="exact"/>
        <w:ind w:right="641"/>
        <w:rPr>
          <w:rFonts w:hint="eastAsia" w:eastAsia="黑体"/>
          <w:szCs w:val="32"/>
        </w:rPr>
      </w:pPr>
      <w:bookmarkStart w:id="0" w:name="_GoBack"/>
      <w:r>
        <w:rPr>
          <w:rFonts w:eastAsia="黑体"/>
          <w:szCs w:val="32"/>
        </w:rPr>
        <w:t>附件</w:t>
      </w:r>
      <w:r>
        <w:rPr>
          <w:rFonts w:hint="eastAsia" w:eastAsia="黑体"/>
          <w:szCs w:val="32"/>
        </w:rPr>
        <w:t>4</w:t>
      </w:r>
    </w:p>
    <w:bookmarkEnd w:id="0"/>
    <w:p>
      <w:pPr>
        <w:spacing w:line="560" w:lineRule="exact"/>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3"/>
        <w:tblW w:w="10287" w:type="dxa"/>
        <w:jc w:val="center"/>
        <w:tblInd w:w="0" w:type="dxa"/>
        <w:tblLayout w:type="fixed"/>
        <w:tblCellMar>
          <w:top w:w="0" w:type="dxa"/>
          <w:left w:w="108" w:type="dxa"/>
          <w:bottom w:w="0" w:type="dxa"/>
          <w:right w:w="108" w:type="dxa"/>
        </w:tblCellMar>
      </w:tblPr>
      <w:tblGrid>
        <w:gridCol w:w="488"/>
        <w:gridCol w:w="542"/>
        <w:gridCol w:w="700"/>
        <w:gridCol w:w="434"/>
        <w:gridCol w:w="1092"/>
        <w:gridCol w:w="476"/>
        <w:gridCol w:w="2944"/>
        <w:gridCol w:w="2977"/>
        <w:gridCol w:w="634"/>
      </w:tblGrid>
      <w:tr>
        <w:tblPrEx>
          <w:tblLayout w:type="fixed"/>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4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109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47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294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97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6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48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43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nil"/>
              <w:right w:val="nil"/>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977"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在职人员控制率=（在职人员数/编制数）×100%，在职人员数：部门（单位）实际在职人数，以财政厅确定的部门决算编制口径为准。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“三公经费”变动率≦0,计8分；“三公经费”＞0，每超过一个百分点扣0.8分，扣完为止。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43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20</w:t>
            </w: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预算完成率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973"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22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该指标以2015年完工的新建楼堂馆所为评价内容。</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46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新建楼堂馆所投资概算控制率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楼堂馆所投资预算控制率=实际投资金额/批准投资金额×100%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该指标以2015年完工的新建楼堂馆所为评价内容。</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399"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43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41</w:t>
            </w: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20"/>
                <w:szCs w:val="20"/>
              </w:rPr>
              <w:t>公用经费支出是指部门基本支出中的一般商品和服务支出。</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7</w:t>
            </w:r>
          </w:p>
        </w:tc>
      </w:tr>
      <w:tr>
        <w:tblPrEx>
          <w:tblLayout w:type="fixed"/>
          <w:tblCellMar>
            <w:top w:w="0" w:type="dxa"/>
            <w:left w:w="108" w:type="dxa"/>
            <w:bottom w:w="0" w:type="dxa"/>
            <w:right w:w="108" w:type="dxa"/>
          </w:tblCellMar>
        </w:tblPrEx>
        <w:trPr>
          <w:trHeight w:val="9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预决算信息公开性</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4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根据绩效办2015年对各部门为民办实事和部门重点工程与重点工作考核分数折算。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该项得分=（绩效办对应部分考核得分/350）*8</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1092"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18"/>
                <w:szCs w:val="18"/>
              </w:rPr>
              <w:t>经济效益</w:t>
            </w:r>
          </w:p>
        </w:tc>
        <w:tc>
          <w:tcPr>
            <w:tcW w:w="476" w:type="dxa"/>
            <w:vMerge w:val="restart"/>
            <w:tcBorders>
              <w:top w:val="nil"/>
              <w:left w:val="single" w:color="auto" w:sz="4" w:space="0"/>
              <w:bottom w:val="nil"/>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5921" w:type="dxa"/>
            <w:gridSpan w:val="2"/>
            <w:vMerge w:val="restart"/>
            <w:tcBorders>
              <w:top w:val="single" w:color="auto" w:sz="4" w:space="0"/>
              <w:left w:val="single" w:color="auto" w:sz="4" w:space="0"/>
              <w:bottom w:val="nil"/>
              <w:right w:val="single" w:color="000000"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634" w:type="dxa"/>
            <w:vMerge w:val="restart"/>
            <w:tcBorders>
              <w:top w:val="nil"/>
              <w:left w:val="nil"/>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18"/>
                <w:szCs w:val="18"/>
              </w:rPr>
              <w:t>社会效益</w:t>
            </w:r>
          </w:p>
        </w:tc>
        <w:tc>
          <w:tcPr>
            <w:tcW w:w="476" w:type="dxa"/>
            <w:vMerge w:val="continue"/>
            <w:tcBorders>
              <w:top w:val="nil"/>
              <w:left w:val="single" w:color="auto" w:sz="4" w:space="0"/>
              <w:bottom w:val="nil"/>
              <w:right w:val="single" w:color="auto" w:sz="4" w:space="0"/>
            </w:tcBorders>
            <w:vAlign w:val="center"/>
          </w:tcPr>
          <w:p>
            <w:pPr>
              <w:widowControl/>
              <w:jc w:val="left"/>
              <w:rPr>
                <w:rFonts w:hint="eastAsia" w:ascii="仿宋_GB2312" w:hAnsi="宋体" w:cs="宋体"/>
                <w:kern w:val="0"/>
                <w:sz w:val="20"/>
                <w:szCs w:val="20"/>
              </w:rPr>
            </w:pPr>
          </w:p>
        </w:tc>
        <w:tc>
          <w:tcPr>
            <w:tcW w:w="5921" w:type="dxa"/>
            <w:gridSpan w:val="2"/>
            <w:vMerge w:val="continue"/>
            <w:tcBorders>
              <w:top w:val="single" w:color="auto" w:sz="4" w:space="0"/>
              <w:left w:val="single" w:color="auto" w:sz="4" w:space="0"/>
              <w:bottom w:val="nil"/>
              <w:right w:val="single" w:color="000000" w:sz="4" w:space="0"/>
            </w:tcBorders>
            <w:vAlign w:val="center"/>
          </w:tcPr>
          <w:p>
            <w:pPr>
              <w:widowControl/>
              <w:spacing w:line="280" w:lineRule="exact"/>
              <w:jc w:val="left"/>
              <w:rPr>
                <w:rFonts w:hint="eastAsia" w:ascii="仿宋_GB2312" w:hAnsi="宋体" w:cs="宋体"/>
                <w:kern w:val="0"/>
                <w:sz w:val="20"/>
                <w:szCs w:val="20"/>
              </w:rPr>
            </w:pPr>
          </w:p>
        </w:tc>
        <w:tc>
          <w:tcPr>
            <w:tcW w:w="634" w:type="dxa"/>
            <w:vMerge w:val="continue"/>
            <w:tcBorders>
              <w:left w:val="nil"/>
              <w:bottom w:val="nil"/>
              <w:right w:val="single" w:color="auto" w:sz="4" w:space="0"/>
            </w:tcBorders>
            <w:vAlign w:val="center"/>
          </w:tcPr>
          <w:p>
            <w:pPr>
              <w:widowControl/>
              <w:jc w:val="left"/>
              <w:rPr>
                <w:rFonts w:hint="eastAsia" w:ascii="仿宋_GB2312" w:hAnsi="宋体" w:cs="宋体"/>
                <w:kern w:val="0"/>
                <w:sz w:val="20"/>
                <w:szCs w:val="20"/>
              </w:rPr>
            </w:pP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12</w:t>
            </w: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行政效能</w:t>
            </w:r>
          </w:p>
        </w:tc>
        <w:tc>
          <w:tcPr>
            <w:tcW w:w="47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977"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634"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29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6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ekton Pro Cond">
    <w:altName w:val="Courier New"/>
    <w:panose1 w:val="00000000000000000000"/>
    <w:charset w:val="00"/>
    <w:family w:val="swiss"/>
    <w:pitch w:val="default"/>
    <w:sig w:usb0="00000000" w:usb1="00000000" w:usb2="00000000" w:usb3="00000000" w:csb0="00000093"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黑体"/>
    <w:panose1 w:val="03000509000000000000"/>
    <w:charset w:val="86"/>
    <w:family w:val="auto"/>
    <w:pitch w:val="default"/>
    <w:sig w:usb0="00000000" w:usb1="00000000" w:usb2="00000000" w:usb3="00000000" w:csb0="00040000" w:csb1="00000000"/>
  </w:font>
  <w:font w:name="方正小标宋_GBK">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A004D"/>
    <w:rsid w:val="318A004D"/>
    <w:rsid w:val="4866040B"/>
    <w:rsid w:val="4BAB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2018-05-10T09:03:00Z</dcterms:created>
  <dc:creator>夜月浅茗</dc:creator>
  <cp:lastModifiedBy>夜月浅茗</cp:lastModifiedBy>
  <dcterms:modified xsi:type="dcterms:W3CDTF">2018-05-10T09:03:56Z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