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_GBK" w:hAnsi="宋体" w:eastAsia="方正小标宋_GBK" w:cs="宋体"/>
          <w:kern w:val="0"/>
          <w:sz w:val="36"/>
          <w:szCs w:val="36"/>
        </w:rPr>
      </w:pPr>
      <w:bookmarkStart w:id="0" w:name="_GoBack"/>
      <w:r>
        <w:rPr>
          <w:rFonts w:hint="eastAsia" w:ascii="方正小标宋_GBK" w:hAnsi="宋体" w:eastAsia="方正小标宋_GBK" w:cs="宋体"/>
          <w:kern w:val="0"/>
          <w:sz w:val="36"/>
          <w:szCs w:val="36"/>
        </w:rPr>
        <w:t>永兴县供销社</w:t>
      </w:r>
      <w:r>
        <w:rPr>
          <w:rFonts w:hint="eastAsia" w:ascii="方正小标宋_GBK" w:hAnsi="宋体" w:eastAsia="方正小标宋_GBK" w:cs="宋体"/>
          <w:kern w:val="0"/>
          <w:sz w:val="36"/>
          <w:szCs w:val="36"/>
          <w:lang w:val="en-US" w:eastAsia="zh-CN"/>
        </w:rPr>
        <w:t>2018年</w:t>
      </w:r>
      <w:r>
        <w:rPr>
          <w:rFonts w:hint="eastAsia" w:ascii="方正小标宋_GBK" w:hAnsi="宋体" w:eastAsia="方正小标宋_GBK" w:cs="宋体"/>
          <w:kern w:val="0"/>
          <w:sz w:val="36"/>
          <w:szCs w:val="36"/>
        </w:rPr>
        <w:t>部门整体支出绩效评价指标表</w:t>
      </w:r>
    </w:p>
    <w:bookmarkEnd w:id="0"/>
    <w:p>
      <w:pPr>
        <w:spacing w:line="560" w:lineRule="exact"/>
        <w:jc w:val="center"/>
        <w:rPr>
          <w:rFonts w:hint="eastAsia" w:ascii="方正小标宋_GBK" w:hAnsi="宋体" w:eastAsia="方正小标宋_GBK" w:cs="宋体"/>
          <w:kern w:val="0"/>
          <w:sz w:val="36"/>
          <w:szCs w:val="36"/>
        </w:rPr>
      </w:pPr>
    </w:p>
    <w:tbl>
      <w:tblPr>
        <w:tblStyle w:val="3"/>
        <w:tblW w:w="10185" w:type="dxa"/>
        <w:jc w:val="center"/>
        <w:tblInd w:w="0" w:type="dxa"/>
        <w:tblLayout w:type="fixed"/>
        <w:tblCellMar>
          <w:top w:w="0" w:type="dxa"/>
          <w:left w:w="108" w:type="dxa"/>
          <w:bottom w:w="0" w:type="dxa"/>
          <w:right w:w="108" w:type="dxa"/>
        </w:tblCellMar>
      </w:tblPr>
      <w:tblGrid>
        <w:gridCol w:w="625"/>
        <w:gridCol w:w="416"/>
        <w:gridCol w:w="661"/>
        <w:gridCol w:w="403"/>
        <w:gridCol w:w="850"/>
        <w:gridCol w:w="426"/>
        <w:gridCol w:w="2976"/>
        <w:gridCol w:w="3261"/>
        <w:gridCol w:w="567"/>
      </w:tblGrid>
      <w:tr>
        <w:tblPrEx>
          <w:tblLayout w:type="fixed"/>
          <w:tblCellMar>
            <w:top w:w="0" w:type="dxa"/>
            <w:left w:w="108" w:type="dxa"/>
            <w:bottom w:w="0" w:type="dxa"/>
            <w:right w:w="108" w:type="dxa"/>
          </w:tblCellMar>
        </w:tblPrEx>
        <w:trPr>
          <w:tblHeader/>
          <w:jc w:val="center"/>
        </w:trPr>
        <w:tc>
          <w:tcPr>
            <w:tcW w:w="62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b/>
                <w:kern w:val="0"/>
                <w:szCs w:val="21"/>
              </w:rPr>
            </w:pPr>
          </w:p>
          <w:p>
            <w:pPr>
              <w:widowControl/>
              <w:spacing w:line="280" w:lineRule="exact"/>
              <w:jc w:val="left"/>
              <w:rPr>
                <w:rFonts w:ascii="仿宋_GB2312" w:hAnsi="宋体" w:eastAsia="仿宋_GB2312" w:cs="宋体"/>
                <w:b/>
                <w:kern w:val="0"/>
                <w:szCs w:val="21"/>
              </w:rPr>
            </w:pPr>
          </w:p>
        </w:tc>
        <w:tc>
          <w:tcPr>
            <w:tcW w:w="416"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66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二级指标</w:t>
            </w:r>
          </w:p>
        </w:tc>
        <w:tc>
          <w:tcPr>
            <w:tcW w:w="403"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850"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hint="eastAsia" w:ascii="仿宋_GB2312" w:hAnsi="宋体" w:eastAsia="仿宋_GB2312" w:cs="宋体"/>
                <w:b/>
                <w:kern w:val="0"/>
                <w:szCs w:val="21"/>
              </w:rPr>
            </w:pPr>
            <w:r>
              <w:rPr>
                <w:rFonts w:hint="eastAsia" w:ascii="仿宋_GB2312" w:hAnsi="宋体" w:eastAsia="仿宋_GB2312" w:cs="宋体"/>
                <w:b/>
                <w:kern w:val="0"/>
                <w:szCs w:val="21"/>
              </w:rPr>
              <w:t>三级</w:t>
            </w:r>
          </w:p>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指标</w:t>
            </w:r>
          </w:p>
        </w:tc>
        <w:tc>
          <w:tcPr>
            <w:tcW w:w="426"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2976"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评价标准</w:t>
            </w:r>
          </w:p>
        </w:tc>
        <w:tc>
          <w:tcPr>
            <w:tcW w:w="326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指标说明</w:t>
            </w:r>
          </w:p>
        </w:tc>
        <w:tc>
          <w:tcPr>
            <w:tcW w:w="567"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得分</w:t>
            </w:r>
          </w:p>
        </w:tc>
      </w:tr>
      <w:tr>
        <w:tblPrEx>
          <w:tblLayout w:type="fixed"/>
          <w:tblCellMar>
            <w:top w:w="0" w:type="dxa"/>
            <w:left w:w="108" w:type="dxa"/>
            <w:bottom w:w="0" w:type="dxa"/>
            <w:right w:w="108" w:type="dxa"/>
          </w:tblCellMar>
        </w:tblPrEx>
        <w:trPr>
          <w:trHeight w:val="1699" w:hRule="atLeast"/>
          <w:jc w:val="center"/>
        </w:trPr>
        <w:tc>
          <w:tcPr>
            <w:tcW w:w="625" w:type="dxa"/>
            <w:vMerge w:val="restart"/>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投入</w:t>
            </w:r>
          </w:p>
        </w:tc>
        <w:tc>
          <w:tcPr>
            <w:tcW w:w="416"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661" w:type="dxa"/>
            <w:vMerge w:val="restart"/>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预算配置</w:t>
            </w:r>
          </w:p>
        </w:tc>
        <w:tc>
          <w:tcPr>
            <w:tcW w:w="403"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在职人员控制率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976" w:type="dxa"/>
            <w:tcBorders>
              <w:top w:val="nil"/>
              <w:left w:val="nil"/>
              <w:bottom w:val="nil"/>
              <w:right w:val="nil"/>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以100%为标准。在职人员控制率</w:t>
            </w:r>
            <w:r>
              <w:rPr>
                <w:rFonts w:hint="eastAsia" w:ascii="宋体" w:hAnsi="宋体" w:cs="宋体"/>
                <w:kern w:val="0"/>
                <w:szCs w:val="21"/>
              </w:rPr>
              <w:t>≦</w:t>
            </w:r>
            <w:r>
              <w:rPr>
                <w:rFonts w:hint="eastAsia" w:ascii="仿宋_GB2312" w:hAnsi="宋体" w:eastAsia="仿宋_GB2312" w:cs="宋体"/>
                <w:kern w:val="0"/>
                <w:szCs w:val="21"/>
              </w:rPr>
              <w:t>100%，计5分；每超过一个百分点扣0.5分，扣完为止。</w:t>
            </w:r>
          </w:p>
        </w:tc>
        <w:tc>
          <w:tcPr>
            <w:tcW w:w="3261" w:type="dxa"/>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在职人员控制率=（在职人员数/编制数）×100%，在职人员数：部门（单位）实际在职人数，以财政厅确定的部门决算编制口径为准。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编制数：机构编制部门核定批复的部门（单位）的人员编制数。</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5</w:t>
            </w:r>
          </w:p>
        </w:tc>
      </w:tr>
      <w:tr>
        <w:tblPrEx>
          <w:tblLayout w:type="fixed"/>
          <w:tblCellMar>
            <w:top w:w="0" w:type="dxa"/>
            <w:left w:w="108" w:type="dxa"/>
            <w:bottom w:w="0" w:type="dxa"/>
            <w:right w:w="108" w:type="dxa"/>
          </w:tblCellMar>
        </w:tblPrEx>
        <w:trPr>
          <w:jc w:val="center"/>
        </w:trPr>
        <w:tc>
          <w:tcPr>
            <w:tcW w:w="625"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“三公经费”变动率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976"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“三公经费”变动率</w:t>
            </w:r>
            <w:r>
              <w:rPr>
                <w:rFonts w:hint="eastAsia" w:ascii="宋体" w:hAnsi="宋体" w:cs="宋体"/>
                <w:kern w:val="0"/>
                <w:szCs w:val="21"/>
              </w:rPr>
              <w:t>≦</w:t>
            </w:r>
            <w:r>
              <w:rPr>
                <w:rFonts w:hint="eastAsia" w:ascii="仿宋_GB2312" w:hAnsi="宋体" w:eastAsia="仿宋_GB2312" w:cs="宋体"/>
                <w:kern w:val="0"/>
                <w:szCs w:val="21"/>
              </w:rPr>
              <w:t>0,计8分；“三公经费”＞0，每超过一个百分点扣0.8分，扣完为止。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8</w:t>
            </w:r>
          </w:p>
        </w:tc>
      </w:tr>
      <w:tr>
        <w:tblPrEx>
          <w:tblLayout w:type="fixed"/>
          <w:tblCellMar>
            <w:top w:w="0" w:type="dxa"/>
            <w:left w:w="108" w:type="dxa"/>
            <w:bottom w:w="0" w:type="dxa"/>
            <w:right w:w="108" w:type="dxa"/>
          </w:tblCellMar>
        </w:tblPrEx>
        <w:trPr>
          <w:jc w:val="center"/>
        </w:trPr>
        <w:tc>
          <w:tcPr>
            <w:tcW w:w="625"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过                                                                                                                                       程</w:t>
            </w:r>
          </w:p>
        </w:tc>
        <w:tc>
          <w:tcPr>
            <w:tcW w:w="416"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61</w:t>
            </w:r>
          </w:p>
        </w:tc>
        <w:tc>
          <w:tcPr>
            <w:tcW w:w="661"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预算执行</w:t>
            </w:r>
          </w:p>
        </w:tc>
        <w:tc>
          <w:tcPr>
            <w:tcW w:w="403"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预算完成率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100%计满分，每低于5%扣2分，扣完为止。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5</w:t>
            </w:r>
          </w:p>
        </w:tc>
      </w:tr>
      <w:tr>
        <w:tblPrEx>
          <w:tblLayout w:type="fixed"/>
          <w:tblCellMar>
            <w:top w:w="0" w:type="dxa"/>
            <w:left w:w="108" w:type="dxa"/>
            <w:bottom w:w="0" w:type="dxa"/>
            <w:right w:w="108" w:type="dxa"/>
          </w:tblCellMar>
        </w:tblPrEx>
        <w:trPr>
          <w:trHeight w:val="1095" w:hRule="atLeast"/>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预算控制率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预算控制率=0，计5分；0-10%（含），计4分；10-20%（含），计3分；20-30%（含），计2分；大于30%不得分。</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预算控制率=（本年追加预算/年初预算）×100%。</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5</w:t>
            </w:r>
          </w:p>
        </w:tc>
      </w:tr>
      <w:tr>
        <w:tblPrEx>
          <w:tblLayout w:type="fixed"/>
          <w:tblCellMar>
            <w:top w:w="0" w:type="dxa"/>
            <w:left w:w="108" w:type="dxa"/>
            <w:bottom w:w="0" w:type="dxa"/>
            <w:right w:w="108" w:type="dxa"/>
          </w:tblCellMar>
        </w:tblPrEx>
        <w:trPr>
          <w:trHeight w:val="1160" w:hRule="atLeast"/>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新建楼堂馆所面积控制率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100%以下（含）计满分，每超出5%扣2分，扣完为止。没有楼堂馆所项目的部门按满分计算。</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楼堂馆所面积控制率=实际建设面积/批准建设面积×100%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该指标以2015年完工的新建楼堂馆所为评价内容。</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5</w:t>
            </w:r>
          </w:p>
        </w:tc>
      </w:tr>
      <w:tr>
        <w:tblPrEx>
          <w:tblLayout w:type="fixed"/>
          <w:tblCellMar>
            <w:top w:w="0" w:type="dxa"/>
            <w:left w:w="108" w:type="dxa"/>
            <w:bottom w:w="0" w:type="dxa"/>
            <w:right w:w="108" w:type="dxa"/>
          </w:tblCellMar>
        </w:tblPrEx>
        <w:trPr>
          <w:trHeight w:val="1144" w:hRule="atLeast"/>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新建楼堂馆所投资概算控制率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100%以下（含）计满分，每超出5%扣2分，扣完为止。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楼堂馆所投资预算控制率=实际投资金额/批准投资金额×100%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该指标以2015年完工的新建楼堂馆所为评价内容。</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5</w:t>
            </w:r>
          </w:p>
        </w:tc>
      </w:tr>
      <w:tr>
        <w:tblPrEx>
          <w:tblLayout w:type="fixed"/>
          <w:tblCellMar>
            <w:top w:w="0" w:type="dxa"/>
            <w:left w:w="108" w:type="dxa"/>
            <w:bottom w:w="0" w:type="dxa"/>
            <w:right w:w="108" w:type="dxa"/>
          </w:tblCellMar>
        </w:tblPrEx>
        <w:trPr>
          <w:trHeight w:val="1314" w:hRule="atLeast"/>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预算管理</w:t>
            </w:r>
          </w:p>
        </w:tc>
        <w:tc>
          <w:tcPr>
            <w:tcW w:w="403"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41</w:t>
            </w: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公用经费控制率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100%以下（含）计满分，每超出1%扣1分，扣完为止。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公用经费控制率=（实际支出公用经费总额/预算安排公用经费总额）×100%。</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公用经费支出是指部门基本支出中的一般商品和服务支出。</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6</w:t>
            </w:r>
          </w:p>
        </w:tc>
      </w:tr>
      <w:tr>
        <w:tblPrEx>
          <w:tblLayout w:type="fixed"/>
          <w:tblCellMar>
            <w:top w:w="0" w:type="dxa"/>
            <w:left w:w="108" w:type="dxa"/>
            <w:bottom w:w="0" w:type="dxa"/>
            <w:right w:w="108" w:type="dxa"/>
          </w:tblCellMar>
        </w:tblPrEx>
        <w:trPr>
          <w:trHeight w:val="968" w:hRule="atLeast"/>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“三公经费”控制率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100%以下（含）计满分，每超出1%扣1分，扣完为止。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“三公经费”控制率-（“三公经费”实际支出数/“三公经费”预算安排数）×100%。</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8</w:t>
            </w:r>
          </w:p>
        </w:tc>
      </w:tr>
      <w:tr>
        <w:tblPrEx>
          <w:tblLayout w:type="fixed"/>
          <w:tblCellMar>
            <w:top w:w="0" w:type="dxa"/>
            <w:left w:w="108" w:type="dxa"/>
            <w:bottom w:w="0" w:type="dxa"/>
            <w:right w:w="108" w:type="dxa"/>
          </w:tblCellMar>
        </w:tblPrEx>
        <w:trPr>
          <w:trHeight w:val="599" w:hRule="atLeast"/>
          <w:jc w:val="center"/>
        </w:trPr>
        <w:tc>
          <w:tcPr>
            <w:tcW w:w="625"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政府采购执行率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100%计满分，每超过（降低）5%扣2分。扣完为止。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政府采购执行率=（实际政府采购金额/政府采购预算数）×100%</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6</w:t>
            </w:r>
          </w:p>
        </w:tc>
      </w:tr>
      <w:tr>
        <w:tblPrEx>
          <w:tblLayout w:type="fixed"/>
          <w:tblCellMar>
            <w:top w:w="0" w:type="dxa"/>
            <w:left w:w="108" w:type="dxa"/>
            <w:bottom w:w="0" w:type="dxa"/>
            <w:right w:w="108" w:type="dxa"/>
          </w:tblCellMar>
        </w:tblPrEx>
        <w:trPr>
          <w:jc w:val="center"/>
        </w:trPr>
        <w:tc>
          <w:tcPr>
            <w:tcW w:w="625" w:type="dxa"/>
            <w:vMerge w:val="restart"/>
            <w:tcBorders>
              <w:top w:val="single" w:color="auto" w:sz="4" w:space="0"/>
              <w:left w:val="single" w:color="auto" w:sz="4" w:space="0"/>
              <w:bottom w:val="single" w:color="000000" w:sz="4" w:space="0"/>
              <w:right w:val="single" w:color="auto" w:sz="4" w:space="0"/>
            </w:tcBorders>
            <w:tcMar>
              <w:top w:w="57" w:type="dxa"/>
              <w:left w:w="57" w:type="dxa"/>
              <w:bottom w:w="57" w:type="dxa"/>
              <w:right w:w="57" w:type="dxa"/>
            </w:tcMar>
            <w:vAlign w:val="center"/>
          </w:tcPr>
          <w:p>
            <w:pPr>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过                                                                                                                                       程</w:t>
            </w:r>
          </w:p>
        </w:tc>
        <w:tc>
          <w:tcPr>
            <w:tcW w:w="416" w:type="dxa"/>
            <w:vMerge w:val="restart"/>
            <w:tcBorders>
              <w:top w:val="single" w:color="auto" w:sz="4" w:space="0"/>
              <w:left w:val="single" w:color="auto" w:sz="4" w:space="0"/>
              <w:bottom w:val="single" w:color="000000" w:sz="4" w:space="0"/>
              <w:right w:val="single" w:color="auto" w:sz="4" w:space="0"/>
            </w:tcBorders>
            <w:tcMar>
              <w:top w:w="57" w:type="dxa"/>
              <w:left w:w="57" w:type="dxa"/>
              <w:bottom w:w="57" w:type="dxa"/>
              <w:right w:w="57" w:type="dxa"/>
            </w:tcMar>
            <w:vAlign w:val="center"/>
          </w:tcPr>
          <w:p>
            <w:pPr>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61</w:t>
            </w:r>
          </w:p>
        </w:tc>
        <w:tc>
          <w:tcPr>
            <w:tcW w:w="661" w:type="dxa"/>
            <w:vMerge w:val="restart"/>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预算管理</w:t>
            </w: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管理制度健全性</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①有内部财务管理制度、会计核算制度等管理制度，2分；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②有本部门厉行节约制度,2分；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③相关管理制度合法、合规、完整，2分；④相关管理制度得到有效执行，2分。</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8</w:t>
            </w:r>
          </w:p>
        </w:tc>
      </w:tr>
      <w:tr>
        <w:tblPrEx>
          <w:tblLayout w:type="fixed"/>
          <w:tblCellMar>
            <w:top w:w="0" w:type="dxa"/>
            <w:left w:w="108" w:type="dxa"/>
            <w:bottom w:w="0" w:type="dxa"/>
            <w:right w:w="108" w:type="dxa"/>
          </w:tblCellMar>
        </w:tblPrEx>
        <w:trPr>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资金使用合规性</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以上情况每出现一例不符合要求的扣1分，扣完为止。</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5</w:t>
            </w:r>
          </w:p>
        </w:tc>
      </w:tr>
      <w:tr>
        <w:tblPrEx>
          <w:tblLayout w:type="fixed"/>
          <w:tblCellMar>
            <w:top w:w="0" w:type="dxa"/>
            <w:left w:w="108" w:type="dxa"/>
            <w:bottom w:w="0" w:type="dxa"/>
            <w:right w:w="108" w:type="dxa"/>
          </w:tblCellMar>
        </w:tblPrEx>
        <w:trPr>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预决算信息公开性</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预决算信息是指与部门预算、执行、决算、监督、绩效等管理相关的信息。</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5　</w:t>
            </w:r>
          </w:p>
        </w:tc>
      </w:tr>
      <w:tr>
        <w:tblPrEx>
          <w:tblLayout w:type="fixed"/>
          <w:tblCellMar>
            <w:top w:w="0" w:type="dxa"/>
            <w:left w:w="108" w:type="dxa"/>
            <w:bottom w:w="0" w:type="dxa"/>
            <w:right w:w="108" w:type="dxa"/>
          </w:tblCellMar>
        </w:tblPrEx>
        <w:trPr>
          <w:jc w:val="center"/>
        </w:trPr>
        <w:tc>
          <w:tcPr>
            <w:tcW w:w="625"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产出及效率</w:t>
            </w:r>
          </w:p>
        </w:tc>
        <w:tc>
          <w:tcPr>
            <w:tcW w:w="416"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26</w:t>
            </w:r>
          </w:p>
        </w:tc>
        <w:tc>
          <w:tcPr>
            <w:tcW w:w="6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职责履行</w:t>
            </w:r>
          </w:p>
        </w:tc>
        <w:tc>
          <w:tcPr>
            <w:tcW w:w="403"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850" w:type="dxa"/>
            <w:tcBorders>
              <w:top w:val="nil"/>
              <w:left w:val="nil"/>
              <w:bottom w:val="nil"/>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重点工作实际完成率</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根据绩效办2015年对各部门为民办实事和部门重点工程与重点工作考核分数折算。</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该项得分=（绩效办对应部分考核得分/350）*8</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8</w:t>
            </w:r>
          </w:p>
        </w:tc>
      </w:tr>
      <w:tr>
        <w:tblPrEx>
          <w:tblLayout w:type="fixed"/>
          <w:tblCellMar>
            <w:top w:w="0" w:type="dxa"/>
            <w:left w:w="108" w:type="dxa"/>
            <w:bottom w:w="0" w:type="dxa"/>
            <w:right w:w="108" w:type="dxa"/>
          </w:tblCellMar>
        </w:tblPrEx>
        <w:trPr>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履职 效益</w:t>
            </w:r>
          </w:p>
        </w:tc>
        <w:tc>
          <w:tcPr>
            <w:tcW w:w="403"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850"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tc>
        <w:tc>
          <w:tcPr>
            <w:tcW w:w="426" w:type="dxa"/>
            <w:vMerge w:val="restart"/>
            <w:tcBorders>
              <w:top w:val="nil"/>
              <w:left w:val="single" w:color="auto" w:sz="4" w:space="0"/>
              <w:bottom w:val="nil"/>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6237" w:type="dxa"/>
            <w:gridSpan w:val="2"/>
            <w:vMerge w:val="restart"/>
            <w:tcBorders>
              <w:top w:val="single" w:color="auto" w:sz="4" w:space="0"/>
              <w:left w:val="single" w:color="auto" w:sz="4" w:space="0"/>
              <w:bottom w:val="nil"/>
              <w:right w:val="single" w:color="000000"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tcMar>
              <w:top w:w="57" w:type="dxa"/>
              <w:left w:w="57" w:type="dxa"/>
              <w:bottom w:w="57" w:type="dxa"/>
              <w:right w:w="57" w:type="dxa"/>
            </w:tcMar>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　</w:t>
            </w:r>
          </w:p>
          <w:p>
            <w:pPr>
              <w:widowControl/>
              <w:spacing w:line="280" w:lineRule="exact"/>
              <w:jc w:val="left"/>
              <w:rPr>
                <w:rFonts w:ascii="宋体" w:hAnsi="宋体" w:cs="宋体"/>
                <w:kern w:val="0"/>
                <w:szCs w:val="21"/>
              </w:rPr>
            </w:pPr>
            <w:r>
              <w:rPr>
                <w:rFonts w:hint="eastAsia" w:ascii="宋体" w:hAnsi="宋体" w:cs="宋体"/>
                <w:kern w:val="0"/>
                <w:szCs w:val="21"/>
              </w:rPr>
              <w:t>　6</w:t>
            </w:r>
          </w:p>
        </w:tc>
      </w:tr>
      <w:tr>
        <w:tblPrEx>
          <w:tblLayout w:type="fixed"/>
          <w:tblCellMar>
            <w:top w:w="0" w:type="dxa"/>
            <w:left w:w="108" w:type="dxa"/>
            <w:bottom w:w="0" w:type="dxa"/>
            <w:right w:w="108" w:type="dxa"/>
          </w:tblCellMar>
        </w:tblPrEx>
        <w:trPr>
          <w:trHeight w:val="368" w:hRule="atLeast"/>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tc>
        <w:tc>
          <w:tcPr>
            <w:tcW w:w="426" w:type="dxa"/>
            <w:vMerge w:val="continue"/>
            <w:tcBorders>
              <w:top w:val="nil"/>
              <w:left w:val="single" w:color="auto" w:sz="4" w:space="0"/>
              <w:bottom w:val="nil"/>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237" w:type="dxa"/>
            <w:gridSpan w:val="2"/>
            <w:vMerge w:val="continue"/>
            <w:tcBorders>
              <w:top w:val="single" w:color="auto" w:sz="4" w:space="0"/>
              <w:left w:val="single" w:color="auto" w:sz="4" w:space="0"/>
              <w:bottom w:val="nil"/>
              <w:right w:val="single" w:color="000000"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567" w:type="dxa"/>
            <w:vMerge w:val="continue"/>
            <w:tcBorders>
              <w:left w:val="nil"/>
              <w:bottom w:val="nil"/>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25"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restart"/>
            <w:tcBorders>
              <w:top w:val="nil"/>
              <w:left w:val="single" w:color="auto" w:sz="4" w:space="0"/>
              <w:bottom w:val="single" w:color="000000"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行政效能</w:t>
            </w:r>
          </w:p>
        </w:tc>
        <w:tc>
          <w:tcPr>
            <w:tcW w:w="426"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2976"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促进部门改进文风会风，加强经费及资产管理，推动网上办事，提高行政效率，降低行政成本效果较好的计6分；一般3分；无效果或者效果不明显0分。</w:t>
            </w:r>
          </w:p>
        </w:tc>
        <w:tc>
          <w:tcPr>
            <w:tcW w:w="326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根据部门自评材料评定。</w:t>
            </w:r>
          </w:p>
        </w:tc>
        <w:tc>
          <w:tcPr>
            <w:tcW w:w="567"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6</w:t>
            </w:r>
          </w:p>
        </w:tc>
      </w:tr>
      <w:tr>
        <w:tblPrEx>
          <w:tblLayout w:type="fixed"/>
          <w:tblCellMar>
            <w:top w:w="0" w:type="dxa"/>
            <w:left w:w="108" w:type="dxa"/>
            <w:bottom w:w="0" w:type="dxa"/>
            <w:right w:w="108" w:type="dxa"/>
          </w:tblCellMar>
        </w:tblPrEx>
        <w:trPr>
          <w:jc w:val="center"/>
        </w:trPr>
        <w:tc>
          <w:tcPr>
            <w:tcW w:w="625"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16"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661"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403" w:type="dxa"/>
            <w:vMerge w:val="continue"/>
            <w:tcBorders>
              <w:top w:val="nil"/>
              <w:left w:val="single" w:color="auto" w:sz="4" w:space="0"/>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p>
        </w:tc>
        <w:tc>
          <w:tcPr>
            <w:tcW w:w="850"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社会公众或服务对象满意度</w:t>
            </w:r>
          </w:p>
        </w:tc>
        <w:tc>
          <w:tcPr>
            <w:tcW w:w="42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2976"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90%（含）以上计6分；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80%（含）-90%，计4分；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70%（含）-80%，计2分；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低于70%计0分。</w:t>
            </w:r>
          </w:p>
        </w:tc>
        <w:tc>
          <w:tcPr>
            <w:tcW w:w="3261"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tcMar>
              <w:top w:w="57" w:type="dxa"/>
              <w:left w:w="57" w:type="dxa"/>
              <w:bottom w:w="57" w:type="dxa"/>
              <w:right w:w="57"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　4</w:t>
            </w:r>
          </w:p>
        </w:tc>
      </w:tr>
      <w:tr>
        <w:tblPrEx>
          <w:tblLayout w:type="fixed"/>
          <w:tblCellMar>
            <w:top w:w="0" w:type="dxa"/>
            <w:left w:w="108" w:type="dxa"/>
            <w:bottom w:w="0" w:type="dxa"/>
            <w:right w:w="108" w:type="dxa"/>
          </w:tblCellMar>
        </w:tblPrEx>
        <w:trPr>
          <w:trHeight w:val="492" w:hRule="atLeast"/>
          <w:jc w:val="center"/>
        </w:trPr>
        <w:tc>
          <w:tcPr>
            <w:tcW w:w="2955" w:type="dxa"/>
            <w:gridSpan w:val="5"/>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合   计</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100</w:t>
            </w:r>
          </w:p>
        </w:tc>
        <w:tc>
          <w:tcPr>
            <w:tcW w:w="297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jc w:val="left"/>
              <w:rPr>
                <w:rFonts w:hint="eastAsia" w:ascii="仿宋_GB2312" w:hAnsi="宋体" w:eastAsia="仿宋_GB2312" w:cs="宋体"/>
                <w:kern w:val="0"/>
                <w:szCs w:val="21"/>
              </w:rPr>
            </w:pPr>
          </w:p>
        </w:tc>
        <w:tc>
          <w:tcPr>
            <w:tcW w:w="326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jc w:val="left"/>
              <w:rPr>
                <w:rFonts w:hint="eastAsia" w:ascii="仿宋_GB2312" w:hAnsi="宋体" w:eastAsia="仿宋_GB2312" w:cs="宋体"/>
                <w:kern w:val="0"/>
                <w:szCs w:val="21"/>
              </w:rPr>
            </w:pPr>
          </w:p>
        </w:tc>
        <w:tc>
          <w:tcPr>
            <w:tcW w:w="56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firstLine="210" w:firstLineChars="100"/>
              <w:jc w:val="left"/>
              <w:rPr>
                <w:rFonts w:hint="eastAsia" w:ascii="宋体" w:hAnsi="宋体" w:cs="宋体"/>
                <w:kern w:val="0"/>
                <w:szCs w:val="21"/>
              </w:rPr>
            </w:pPr>
            <w:r>
              <w:rPr>
                <w:rFonts w:hint="eastAsia" w:ascii="宋体" w:hAnsi="宋体" w:cs="宋体"/>
                <w:kern w:val="0"/>
                <w:szCs w:val="21"/>
              </w:rPr>
              <w:t>95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B11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荔枝</cp:lastModifiedBy>
  <dcterms:modified xsi:type="dcterms:W3CDTF">2019-10-16T02:15:38Z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