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永兴县供销社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2018年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整体支出绩效评价基础数据表</w:t>
      </w:r>
    </w:p>
    <w:bookmarkEnd w:id="0"/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jc w:val="left"/>
        <w:rPr>
          <w:rFonts w:hint="eastAsia" w:ascii="仿宋_GB2312" w:hAnsi="宋体" w:cs="宋体"/>
          <w:kern w:val="0"/>
          <w:sz w:val="24"/>
        </w:rPr>
      </w:pP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jc w:val="left"/>
        <w:rPr>
          <w:rFonts w:hint="eastAsia" w:ascii="仿宋_GB2312" w:hAnsi="宋体" w:eastAsia="仿宋_GB2312" w:cs="宋体"/>
          <w:kern w:val="0"/>
          <w:sz w:val="24"/>
          <w:szCs w:val="22"/>
        </w:rPr>
      </w:pPr>
      <w:r>
        <w:rPr>
          <w:rFonts w:hint="eastAsia" w:ascii="仿宋_GB2312" w:hAnsi="宋体" w:cs="宋体"/>
          <w:kern w:val="0"/>
          <w:sz w:val="24"/>
        </w:rPr>
        <w:t>填报单位：永兴县供销社</w:t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>单位：万元</w:t>
      </w:r>
      <w:r>
        <w:rPr>
          <w:rFonts w:hint="eastAsia" w:ascii="仿宋_GB2312" w:hAnsi="宋体" w:cs="宋体"/>
          <w:kern w:val="0"/>
          <w:sz w:val="24"/>
        </w:rPr>
        <w:tab/>
      </w:r>
    </w:p>
    <w:tbl>
      <w:tblPr>
        <w:tblStyle w:val="5"/>
        <w:tblW w:w="94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6"/>
        <w:gridCol w:w="1190"/>
        <w:gridCol w:w="6"/>
        <w:gridCol w:w="838"/>
        <w:gridCol w:w="1147"/>
        <w:gridCol w:w="1134"/>
        <w:gridCol w:w="1167"/>
        <w:gridCol w:w="10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18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12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2017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年决算数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3.51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3.61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 3.26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1</w:t>
            </w:r>
            <w:r>
              <w:rPr>
                <w:rFonts w:hint="eastAsia"/>
                <w:kern w:val="0"/>
                <w:sz w:val="20"/>
                <w:szCs w:val="20"/>
              </w:rPr>
              <w:t>、公务用车购置和维护经费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</w:rPr>
              <w:t>其中：公车购置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</w:rPr>
              <w:t>公车运行维护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2</w:t>
            </w:r>
            <w:r>
              <w:rPr>
                <w:rFonts w:hint="eastAsia"/>
                <w:kern w:val="0"/>
                <w:sz w:val="20"/>
                <w:szCs w:val="20"/>
              </w:rPr>
              <w:t>、出国经费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3</w:t>
            </w:r>
            <w:r>
              <w:rPr>
                <w:rFonts w:hint="eastAsia"/>
                <w:kern w:val="0"/>
                <w:sz w:val="20"/>
                <w:szCs w:val="20"/>
              </w:rPr>
              <w:t>、公务接待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3.51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3.61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3.26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24.67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43.26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32.49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1</w:t>
            </w:r>
            <w:r>
              <w:rPr>
                <w:rFonts w:hint="eastAsia"/>
                <w:kern w:val="0"/>
                <w:sz w:val="20"/>
                <w:szCs w:val="20"/>
              </w:rPr>
              <w:t>、业务工作专项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24.67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43.26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 32.49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2</w:t>
            </w:r>
            <w:r>
              <w:rPr>
                <w:rFonts w:hint="eastAsia"/>
                <w:kern w:val="0"/>
                <w:sz w:val="20"/>
                <w:szCs w:val="20"/>
              </w:rPr>
              <w:t>、运行维护专项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……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18.21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15.6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15.73</w:t>
            </w: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其中：办公经费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1.75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kern w:val="0"/>
                <w:sz w:val="20"/>
                <w:szCs w:val="20"/>
              </w:rPr>
              <w:t>水费、电费、差旅费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2.69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kern w:val="0"/>
                <w:sz w:val="20"/>
                <w:szCs w:val="20"/>
              </w:rPr>
              <w:t>会议费、培训费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0.25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部门整体支出预算调整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楼堂馆所控制情况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2016</w:t>
            </w:r>
            <w:r>
              <w:rPr>
                <w:rFonts w:hint="eastAsia"/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批复规模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实际规模（㎡）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规模控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制率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实际投资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投资概算控制率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0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5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公车改革，减少公务用车运行维护费，职工食堂搭火，节约公务接待费用支出和工资支出　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cs="宋体"/>
          <w:kern w:val="0"/>
          <w:sz w:val="22"/>
        </w:rPr>
        <w:t>说明：“项目支出”需要填报除专项资金和基本支出以外的所有项目情况，包括业务工作项目、运行维护项目等；“公用经费”填报基本支出中的一般商品和服务支出。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8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荔枝</cp:lastModifiedBy>
  <dcterms:modified xsi:type="dcterms:W3CDTF">2019-10-16T02:16:23Z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