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20"/>
        </w:tabs>
        <w:spacing w:line="360" w:lineRule="exact"/>
        <w:ind w:right="641"/>
        <w:rPr>
          <w:rFonts w:hint="eastAsia" w:eastAsia="黑体"/>
          <w:szCs w:val="32"/>
        </w:rPr>
      </w:pPr>
      <w:r>
        <w:rPr>
          <w:rFonts w:eastAsia="黑体"/>
          <w:szCs w:val="32"/>
        </w:rPr>
        <w:t>附件</w:t>
      </w:r>
      <w:r>
        <w:rPr>
          <w:rFonts w:hint="eastAsia" w:eastAsia="黑体"/>
          <w:szCs w:val="32"/>
        </w:rPr>
        <w:t>4</w:t>
      </w:r>
    </w:p>
    <w:p>
      <w:pPr>
        <w:spacing w:line="560" w:lineRule="exact"/>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2"/>
        <w:tblW w:w="10287" w:type="dxa"/>
        <w:jc w:val="center"/>
        <w:tblInd w:w="0" w:type="dxa"/>
        <w:tblLayout w:type="fixed"/>
        <w:tblCellMar>
          <w:top w:w="0" w:type="dxa"/>
          <w:left w:w="108" w:type="dxa"/>
          <w:bottom w:w="0" w:type="dxa"/>
          <w:right w:w="108" w:type="dxa"/>
        </w:tblCellMar>
      </w:tblPr>
      <w:tblGrid>
        <w:gridCol w:w="488"/>
        <w:gridCol w:w="542"/>
        <w:gridCol w:w="700"/>
        <w:gridCol w:w="434"/>
        <w:gridCol w:w="1092"/>
        <w:gridCol w:w="476"/>
        <w:gridCol w:w="2944"/>
        <w:gridCol w:w="2977"/>
        <w:gridCol w:w="634"/>
      </w:tblGrid>
      <w:tr>
        <w:tblPrEx>
          <w:tblLayout w:type="fixed"/>
          <w:tblCellMar>
            <w:top w:w="0" w:type="dxa"/>
            <w:left w:w="108" w:type="dxa"/>
            <w:bottom w:w="0" w:type="dxa"/>
            <w:right w:w="108" w:type="dxa"/>
          </w:tblCellMar>
        </w:tblPrEx>
        <w:trPr>
          <w:trHeight w:val="773" w:hRule="atLeast"/>
          <w:tblHeader/>
          <w:jc w:val="center"/>
        </w:trPr>
        <w:tc>
          <w:tcPr>
            <w:tcW w:w="48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4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109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47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294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97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63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Layout w:type="fixed"/>
          <w:tblCellMar>
            <w:top w:w="0" w:type="dxa"/>
            <w:left w:w="108" w:type="dxa"/>
            <w:bottom w:w="0" w:type="dxa"/>
            <w:right w:w="108" w:type="dxa"/>
          </w:tblCellMar>
        </w:tblPrEx>
        <w:trPr>
          <w:trHeight w:val="1814" w:hRule="atLeast"/>
          <w:jc w:val="center"/>
        </w:trPr>
        <w:tc>
          <w:tcPr>
            <w:tcW w:w="48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43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nil"/>
              <w:right w:val="nil"/>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977"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在职人员控制率=（在职人员数/编制数）×100%，在职人员数：部门（单位）实际在职人数，以财政厅确定的部门决算编制口径为准。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0</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“三公经费”变动率≦0,计8分；“三公经费”＞0，每超过一个百分点扣0.8分，扣完为止。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“三公经费”变动率=[（本年度“三公经费”预算数-上年度“三公经费”预算数）/上年度“三公经费”预算数]×100%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43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20</w:t>
            </w: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预算完成率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100%计满分，每低于5%扣2分，扣完为止。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预算完成率=（上年结转+年初预算+本年追加预算-年末结余）/（上年结转+年初预算+本年追加预算）×100%。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973"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预算控制率=0，计5分；0-10%（含），计4分；10-20%（含），计3分；20-30%（含），计2分；大于30%不得分。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预算控制率=（本年追加预算/年初预算）×100%。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22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新建楼堂馆所面积控制率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100%以下（含）计满分，每超出5%扣2分，扣完为止。没有楼堂馆所项目的部门按满分计算。</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楼堂馆所面积控制率=实际建设面积/批准建设面积×100%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464"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新建楼堂馆所投资概算控制率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楼堂馆所投资预算控制率=实际投资金额/批准投资金额×100% 。</w:t>
            </w:r>
            <w:r>
              <w:rPr>
                <w:rFonts w:hint="eastAsia" w:ascii="仿宋_GB2312" w:hAnsi="宋体" w:cs="宋体"/>
                <w:kern w:val="0"/>
                <w:sz w:val="20"/>
                <w:szCs w:val="20"/>
              </w:rPr>
              <w:br w:type="textWrapping"/>
            </w:r>
            <w:r>
              <w:rPr>
                <w:rFonts w:hint="eastAsia" w:ascii="仿宋_GB2312" w:hAnsi="宋体" w:cs="宋体"/>
                <w:kern w:val="0"/>
                <w:sz w:val="20"/>
                <w:szCs w:val="20"/>
              </w:rPr>
              <w:t>该指标以2015年完工的新建楼堂馆所为评价内容。</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trHeight w:val="1399"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43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41</w:t>
            </w: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20"/>
                <w:szCs w:val="20"/>
              </w:rPr>
              <w:t>公用经费支出是指部门基本支出中的一般商品和服务支出。</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trHeight w:val="90" w:hRule="atLeast"/>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“三公经费”控制率-（“三公经费”实际支出数/“三公经费”预算安排数）×100%。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trHeight w:val="753" w:hRule="atLeast"/>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476"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cs="宋体"/>
                <w:kern w:val="0"/>
                <w:sz w:val="20"/>
                <w:szCs w:val="20"/>
                <w:lang w:val="en-US" w:eastAsia="zh-CN"/>
              </w:rPr>
              <w:t>0</w:t>
            </w:r>
          </w:p>
        </w:tc>
      </w:tr>
      <w:tr>
        <w:tblPrEx>
          <w:tblLayout w:type="fixed"/>
          <w:tblCellMar>
            <w:top w:w="0" w:type="dxa"/>
            <w:left w:w="108" w:type="dxa"/>
            <w:bottom w:w="0" w:type="dxa"/>
            <w:right w:w="108" w:type="dxa"/>
          </w:tblCellMar>
        </w:tblPrEx>
        <w:trPr>
          <w:jc w:val="center"/>
        </w:trPr>
        <w:tc>
          <w:tcPr>
            <w:tcW w:w="488"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过                                                                                                                                       程</w:t>
            </w:r>
          </w:p>
        </w:tc>
        <w:tc>
          <w:tcPr>
            <w:tcW w:w="542" w:type="dxa"/>
            <w:vMerge w:val="restart"/>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预决算信息公开性</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5</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5</w:t>
            </w:r>
          </w:p>
        </w:tc>
      </w:tr>
      <w:tr>
        <w:tblPrEx>
          <w:tblLayout w:type="fixed"/>
          <w:tblCellMar>
            <w:top w:w="0" w:type="dxa"/>
            <w:left w:w="108" w:type="dxa"/>
            <w:bottom w:w="0" w:type="dxa"/>
            <w:right w:w="108" w:type="dxa"/>
          </w:tblCellMar>
        </w:tblPrEx>
        <w:trPr>
          <w:jc w:val="center"/>
        </w:trPr>
        <w:tc>
          <w:tcPr>
            <w:tcW w:w="488"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4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8</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根据绩效办2015年对各部门为民办实事和部门重点工程与重点工作考核分数折算。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该项得分=（绩效办对应部分考核得分/350）*8</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8</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109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18"/>
                <w:szCs w:val="18"/>
              </w:rPr>
              <w:t>经济效益</w:t>
            </w:r>
          </w:p>
        </w:tc>
        <w:tc>
          <w:tcPr>
            <w:tcW w:w="476" w:type="dxa"/>
            <w:vMerge w:val="restart"/>
            <w:tcBorders>
              <w:top w:val="nil"/>
              <w:left w:val="single" w:color="auto" w:sz="4" w:space="0"/>
              <w:bottom w:val="nil"/>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5921" w:type="dxa"/>
            <w:gridSpan w:val="2"/>
            <w:vMerge w:val="restart"/>
            <w:tcBorders>
              <w:top w:val="single" w:color="auto" w:sz="4" w:space="0"/>
              <w:left w:val="single" w:color="auto" w:sz="4" w:space="0"/>
              <w:bottom w:val="nil"/>
              <w:right w:val="single" w:color="000000"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634" w:type="dxa"/>
            <w:vMerge w:val="restart"/>
            <w:tcBorders>
              <w:top w:val="nil"/>
              <w:left w:val="nil"/>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p>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18"/>
                <w:szCs w:val="18"/>
              </w:rPr>
              <w:t>社会效益</w:t>
            </w:r>
          </w:p>
        </w:tc>
        <w:tc>
          <w:tcPr>
            <w:tcW w:w="476" w:type="dxa"/>
            <w:vMerge w:val="continue"/>
            <w:tcBorders>
              <w:top w:val="nil"/>
              <w:left w:val="single" w:color="auto" w:sz="4" w:space="0"/>
              <w:bottom w:val="nil"/>
              <w:right w:val="single" w:color="auto" w:sz="4" w:space="0"/>
            </w:tcBorders>
            <w:vAlign w:val="center"/>
          </w:tcPr>
          <w:p>
            <w:pPr>
              <w:widowControl/>
              <w:jc w:val="left"/>
              <w:rPr>
                <w:rFonts w:hint="eastAsia" w:ascii="仿宋_GB2312" w:hAnsi="宋体" w:cs="宋体"/>
                <w:kern w:val="0"/>
                <w:sz w:val="20"/>
                <w:szCs w:val="20"/>
              </w:rPr>
            </w:pPr>
          </w:p>
        </w:tc>
        <w:tc>
          <w:tcPr>
            <w:tcW w:w="5921" w:type="dxa"/>
            <w:gridSpan w:val="2"/>
            <w:vMerge w:val="continue"/>
            <w:tcBorders>
              <w:top w:val="single" w:color="auto" w:sz="4" w:space="0"/>
              <w:left w:val="single" w:color="auto" w:sz="4" w:space="0"/>
              <w:bottom w:val="nil"/>
              <w:right w:val="single" w:color="000000" w:sz="4" w:space="0"/>
            </w:tcBorders>
            <w:vAlign w:val="center"/>
          </w:tcPr>
          <w:p>
            <w:pPr>
              <w:widowControl/>
              <w:spacing w:line="280" w:lineRule="exact"/>
              <w:jc w:val="left"/>
              <w:rPr>
                <w:rFonts w:hint="eastAsia" w:ascii="仿宋_GB2312" w:hAnsi="宋体" w:cs="宋体"/>
                <w:kern w:val="0"/>
                <w:sz w:val="20"/>
                <w:szCs w:val="20"/>
              </w:rPr>
            </w:pPr>
          </w:p>
        </w:tc>
        <w:tc>
          <w:tcPr>
            <w:tcW w:w="634" w:type="dxa"/>
            <w:vMerge w:val="continue"/>
            <w:tcBorders>
              <w:left w:val="nil"/>
              <w:bottom w:val="nil"/>
              <w:right w:val="single" w:color="auto" w:sz="4" w:space="0"/>
            </w:tcBorders>
            <w:vAlign w:val="center"/>
          </w:tcPr>
          <w:p>
            <w:pPr>
              <w:widowControl/>
              <w:jc w:val="left"/>
              <w:rPr>
                <w:rFonts w:hint="eastAsia" w:ascii="仿宋_GB2312" w:hAnsi="宋体" w:cs="宋体"/>
                <w:kern w:val="0"/>
                <w:sz w:val="20"/>
                <w:szCs w:val="20"/>
              </w:rPr>
            </w:pP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restart"/>
            <w:tcBorders>
              <w:top w:val="nil"/>
              <w:left w:val="single" w:color="auto" w:sz="4" w:space="0"/>
              <w:bottom w:val="single" w:color="000000"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12</w:t>
            </w: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行政效能</w:t>
            </w:r>
          </w:p>
        </w:tc>
        <w:tc>
          <w:tcPr>
            <w:tcW w:w="476"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97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634"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jc w:val="center"/>
        </w:trPr>
        <w:tc>
          <w:tcPr>
            <w:tcW w:w="4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3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476"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6</w:t>
            </w:r>
          </w:p>
        </w:tc>
        <w:tc>
          <w:tcPr>
            <w:tcW w:w="2944"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977" w:type="dxa"/>
            <w:tcBorders>
              <w:top w:val="nil"/>
              <w:left w:val="nil"/>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634" w:type="dxa"/>
            <w:tcBorders>
              <w:top w:val="nil"/>
              <w:left w:val="nil"/>
              <w:bottom w:val="single" w:color="auto" w:sz="4" w:space="0"/>
              <w:right w:val="single" w:color="auto" w:sz="4" w:space="0"/>
            </w:tcBorders>
            <w:vAlign w:val="center"/>
          </w:tcPr>
          <w:p>
            <w:pPr>
              <w:widowControl/>
              <w:jc w:val="left"/>
              <w:rPr>
                <w:rFonts w:hint="eastAsia" w:ascii="仿宋_GB2312" w:hAnsi="宋体" w:cs="宋体"/>
                <w:kern w:val="0"/>
                <w:sz w:val="20"/>
                <w:szCs w:val="20"/>
              </w:rPr>
            </w:pPr>
            <w:r>
              <w:rPr>
                <w:rFonts w:hint="eastAsia" w:ascii="仿宋_GB2312" w:hAnsi="宋体" w:cs="宋体"/>
                <w:kern w:val="0"/>
                <w:sz w:val="20"/>
                <w:szCs w:val="20"/>
              </w:rPr>
              <w:t>　</w:t>
            </w:r>
            <w:r>
              <w:rPr>
                <w:rFonts w:hint="eastAsia" w:ascii="仿宋_GB2312" w:hAnsi="宋体" w:cs="宋体"/>
                <w:kern w:val="0"/>
                <w:sz w:val="20"/>
                <w:szCs w:val="20"/>
                <w:lang w:val="en-US" w:eastAsia="zh-CN"/>
              </w:rPr>
              <w:t>6</w:t>
            </w:r>
          </w:p>
        </w:tc>
      </w:tr>
      <w:tr>
        <w:tblPrEx>
          <w:tblLayout w:type="fixed"/>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43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109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47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cs="宋体"/>
                <w:kern w:val="0"/>
                <w:sz w:val="20"/>
                <w:szCs w:val="20"/>
              </w:rPr>
            </w:pPr>
          </w:p>
        </w:tc>
        <w:tc>
          <w:tcPr>
            <w:tcW w:w="294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cs="宋体"/>
                <w:kern w:val="0"/>
                <w:sz w:val="20"/>
                <w:szCs w:val="20"/>
              </w:rPr>
            </w:pPr>
          </w:p>
        </w:tc>
        <w:tc>
          <w:tcPr>
            <w:tcW w:w="634"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89</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004D"/>
    <w:rsid w:val="318A004D"/>
    <w:rsid w:val="4866040B"/>
    <w:rsid w:val="49C24DCE"/>
    <w:rsid w:val="4BAB2412"/>
    <w:rsid w:val="7F2B4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2018-05-10T09:03:00Z</dcterms:created>
  <dc:creator>夜月浅茗</dc:creator>
  <cp:lastModifiedBy>夜月浅茗</cp:lastModifiedBy>
  <dcterms:modified xsi:type="dcterms:W3CDTF">2019-10-14T03:23:20Z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