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宋体"/>
          <w:kern w:val="0"/>
          <w:szCs w:val="32"/>
        </w:rPr>
      </w:pPr>
      <w:r>
        <w:rPr>
          <w:rFonts w:hint="eastAsia" w:ascii="黑体" w:hAnsi="宋体" w:eastAsia="黑体" w:cs="黑体"/>
          <w:kern w:val="0"/>
          <w:szCs w:val="32"/>
          <w:lang w:bidi="ar"/>
        </w:rPr>
        <w:t>附件</w:t>
      </w:r>
      <w:r>
        <w:rPr>
          <w:rFonts w:hint="eastAsia" w:ascii="黑体" w:hAnsi="宋体" w:eastAsia="黑体" w:cs="宋体"/>
          <w:kern w:val="0"/>
          <w:szCs w:val="32"/>
          <w:lang w:bidi="ar"/>
        </w:rPr>
        <w:t>1</w:t>
      </w:r>
    </w:p>
    <w:p>
      <w:pPr>
        <w:spacing w:line="560" w:lineRule="exact"/>
        <w:jc w:val="center"/>
        <w:rPr>
          <w:rFonts w:ascii="方正大标宋简体" w:hAnsi="方正大标宋简体" w:eastAsia="方正大标宋简体" w:cs="宋体"/>
          <w:kern w:val="0"/>
          <w:sz w:val="36"/>
          <w:szCs w:val="36"/>
        </w:rPr>
      </w:pPr>
      <w:r>
        <w:rPr>
          <w:rFonts w:ascii="方正大标宋简体" w:hAnsi="方正大标宋简体" w:eastAsia="方正大标宋简体" w:cs="方正小标宋_GBK"/>
          <w:kern w:val="0"/>
          <w:sz w:val="36"/>
          <w:szCs w:val="36"/>
          <w:lang w:bidi="ar"/>
        </w:rPr>
        <w:t>部门整体支出绩效评价基础数据表</w:t>
      </w:r>
    </w:p>
    <w:p>
      <w:pPr>
        <w:widowControl/>
        <w:spacing w:line="320" w:lineRule="exact"/>
        <w:ind w:left="91"/>
        <w:jc w:val="left"/>
        <w:rPr>
          <w:rFonts w:ascii="仿宋_GB2312" w:hAnsi="宋体" w:cs="宋体"/>
          <w:kern w:val="0"/>
          <w:sz w:val="24"/>
        </w:rPr>
      </w:pPr>
      <w:r>
        <w:rPr>
          <w:rFonts w:ascii="仿宋_GB2312" w:hAnsi="宋体" w:cs="仿宋_GB2312"/>
          <w:kern w:val="0"/>
          <w:sz w:val="24"/>
          <w:lang w:bidi="ar"/>
        </w:rPr>
        <w:t>填报单位：</w:t>
      </w:r>
      <w:r>
        <w:rPr>
          <w:rFonts w:hint="eastAsia" w:ascii="仿宋_GB2312" w:hAnsi="宋体" w:cs="仿宋_GB2312"/>
          <w:kern w:val="0"/>
          <w:sz w:val="24"/>
          <w:lang w:eastAsia="zh-CN" w:bidi="ar"/>
        </w:rPr>
        <w:t>永兴县应急管理局</w:t>
      </w:r>
      <w:r>
        <w:rPr>
          <w:rFonts w:hint="eastAsia" w:ascii="仿宋_GB2312" w:hAnsi="宋体" w:cs="仿宋_GB2312"/>
          <w:kern w:val="0"/>
          <w:sz w:val="24"/>
          <w:lang w:val="en-US" w:eastAsia="zh-CN" w:bidi="ar"/>
        </w:rPr>
        <w:t xml:space="preserve"> </w:t>
      </w:r>
      <w:r>
        <w:rPr>
          <w:rFonts w:hint="eastAsia" w:ascii="仿宋_GB2312" w:hAnsi="宋体" w:cs="宋体"/>
          <w:kern w:val="0"/>
          <w:sz w:val="24"/>
          <w:lang w:bidi="ar"/>
        </w:rPr>
        <w:t xml:space="preserve">        </w:t>
      </w:r>
      <w:r>
        <w:rPr>
          <w:rFonts w:hint="eastAsia" w:ascii="仿宋_GB2312" w:hAnsi="宋体" w:cs="宋体"/>
          <w:kern w:val="0"/>
          <w:sz w:val="24"/>
          <w:lang w:val="en-US" w:eastAsia="zh-CN" w:bidi="ar"/>
        </w:rPr>
        <w:t xml:space="preserve">    </w:t>
      </w:r>
      <w:r>
        <w:rPr>
          <w:rFonts w:hint="eastAsia" w:ascii="仿宋_GB2312" w:hAnsi="宋体" w:cs="宋体"/>
          <w:kern w:val="0"/>
          <w:sz w:val="24"/>
          <w:lang w:bidi="ar"/>
        </w:rPr>
        <w:t xml:space="preserve">                  单位：万元</w:t>
      </w:r>
    </w:p>
    <w:tbl>
      <w:tblPr>
        <w:tblStyle w:val="4"/>
        <w:tblW w:w="9497" w:type="dxa"/>
        <w:jc w:val="center"/>
        <w:tblInd w:w="0" w:type="dxa"/>
        <w:tblLayout w:type="fixed"/>
        <w:tblCellMar>
          <w:top w:w="0" w:type="dxa"/>
          <w:left w:w="108" w:type="dxa"/>
          <w:bottom w:w="0" w:type="dxa"/>
          <w:right w:w="108" w:type="dxa"/>
        </w:tblCellMar>
      </w:tblPr>
      <w:tblGrid>
        <w:gridCol w:w="2936"/>
        <w:gridCol w:w="1190"/>
        <w:gridCol w:w="6"/>
        <w:gridCol w:w="838"/>
        <w:gridCol w:w="1147"/>
        <w:gridCol w:w="1134"/>
        <w:gridCol w:w="1167"/>
        <w:gridCol w:w="1079"/>
      </w:tblGrid>
      <w:tr>
        <w:tblPrEx>
          <w:tblLayout w:type="fixed"/>
          <w:tblCellMar>
            <w:top w:w="0" w:type="dxa"/>
            <w:left w:w="108" w:type="dxa"/>
            <w:bottom w:w="0" w:type="dxa"/>
            <w:right w:w="108" w:type="dxa"/>
          </w:tblCellMar>
        </w:tblPrEx>
        <w:trPr>
          <w:trHeight w:val="488" w:hRule="atLeast"/>
          <w:jc w:val="center"/>
        </w:trPr>
        <w:tc>
          <w:tcPr>
            <w:tcW w:w="29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lang w:bidi="ar"/>
              </w:rPr>
              <w:t>财政供养人员情况</w:t>
            </w:r>
          </w:p>
        </w:tc>
        <w:tc>
          <w:tcPr>
            <w:tcW w:w="2034"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编制数</w:t>
            </w:r>
          </w:p>
        </w:tc>
        <w:tc>
          <w:tcPr>
            <w:tcW w:w="2281"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201</w:t>
            </w:r>
            <w:r>
              <w:rPr>
                <w:rFonts w:hint="eastAsia"/>
                <w:b/>
                <w:kern w:val="0"/>
                <w:sz w:val="20"/>
                <w:szCs w:val="20"/>
                <w:lang w:val="en-US" w:eastAsia="zh-CN" w:bidi="ar"/>
              </w:rPr>
              <w:t>8</w:t>
            </w:r>
            <w:r>
              <w:rPr>
                <w:rFonts w:ascii="仿宋_GB2312" w:cs="仿宋_GB2312"/>
                <w:b/>
                <w:kern w:val="0"/>
                <w:sz w:val="20"/>
                <w:szCs w:val="20"/>
                <w:lang w:bidi="ar"/>
              </w:rPr>
              <w:t>年实际在职人数</w:t>
            </w:r>
          </w:p>
        </w:tc>
        <w:tc>
          <w:tcPr>
            <w:tcW w:w="224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控制率</w:t>
            </w:r>
          </w:p>
        </w:tc>
      </w:tr>
      <w:tr>
        <w:tblPrEx>
          <w:tblLayout w:type="fixed"/>
          <w:tblCellMar>
            <w:top w:w="0" w:type="dxa"/>
            <w:left w:w="108" w:type="dxa"/>
            <w:bottom w:w="0" w:type="dxa"/>
            <w:right w:w="108" w:type="dxa"/>
          </w:tblCellMar>
        </w:tblPrEx>
        <w:trPr>
          <w:trHeight w:val="488" w:hRule="atLeast"/>
          <w:jc w:val="center"/>
        </w:trPr>
        <w:tc>
          <w:tcPr>
            <w:tcW w:w="29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sz w:val="20"/>
                <w:szCs w:val="20"/>
              </w:rPr>
            </w:pPr>
          </w:p>
        </w:tc>
        <w:tc>
          <w:tcPr>
            <w:tcW w:w="2034"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eastAsia="仿宋_GB2312"/>
                <w:kern w:val="0"/>
                <w:sz w:val="20"/>
                <w:szCs w:val="20"/>
                <w:lang w:val="en-US" w:eastAsia="zh-CN"/>
              </w:rPr>
            </w:pPr>
            <w:r>
              <w:rPr>
                <w:kern w:val="0"/>
                <w:sz w:val="20"/>
                <w:szCs w:val="20"/>
                <w:lang w:bidi="ar"/>
              </w:rPr>
              <w:t>　</w:t>
            </w:r>
            <w:r>
              <w:rPr>
                <w:rFonts w:hint="eastAsia"/>
                <w:kern w:val="0"/>
                <w:sz w:val="20"/>
                <w:szCs w:val="20"/>
                <w:lang w:val="en-US" w:eastAsia="zh-CN" w:bidi="ar"/>
              </w:rPr>
              <w:t>125</w:t>
            </w:r>
          </w:p>
        </w:tc>
        <w:tc>
          <w:tcPr>
            <w:tcW w:w="2281"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lang w:val="en-US" w:eastAsia="zh-CN" w:bidi="ar"/>
              </w:rPr>
              <w:t>91</w:t>
            </w:r>
            <w:r>
              <w:rPr>
                <w:kern w:val="0"/>
                <w:sz w:val="20"/>
                <w:szCs w:val="20"/>
                <w:lang w:bidi="ar"/>
              </w:rPr>
              <w:t>　</w:t>
            </w:r>
          </w:p>
        </w:tc>
        <w:tc>
          <w:tcPr>
            <w:tcW w:w="224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kern w:val="0"/>
                <w:sz w:val="20"/>
                <w:szCs w:val="20"/>
              </w:rPr>
            </w:pPr>
            <w:r>
              <w:rPr>
                <w:rFonts w:hint="eastAsia"/>
                <w:kern w:val="0"/>
                <w:sz w:val="20"/>
                <w:szCs w:val="20"/>
                <w:lang w:val="en-US" w:eastAsia="zh-CN" w:bidi="ar"/>
              </w:rPr>
              <w:t>72.8%</w:t>
            </w: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lang w:bidi="ar"/>
              </w:rPr>
              <w:t>经费控制情况</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b/>
                <w:kern w:val="0"/>
                <w:sz w:val="20"/>
                <w:szCs w:val="20"/>
              </w:rPr>
            </w:pPr>
            <w:r>
              <w:rPr>
                <w:b/>
                <w:kern w:val="0"/>
                <w:sz w:val="20"/>
                <w:szCs w:val="20"/>
                <w:lang w:bidi="ar"/>
              </w:rPr>
              <w:t>201</w:t>
            </w:r>
            <w:r>
              <w:rPr>
                <w:rFonts w:hint="eastAsia"/>
                <w:b/>
                <w:kern w:val="0"/>
                <w:sz w:val="20"/>
                <w:szCs w:val="20"/>
                <w:lang w:val="en-US" w:eastAsia="zh-CN" w:bidi="ar"/>
              </w:rPr>
              <w:t>7</w:t>
            </w:r>
            <w:r>
              <w:rPr>
                <w:rFonts w:ascii="仿宋_GB2312" w:cs="仿宋_GB2312"/>
                <w:b/>
                <w:kern w:val="0"/>
                <w:sz w:val="20"/>
                <w:szCs w:val="20"/>
                <w:lang w:bidi="ar"/>
              </w:rPr>
              <w:t>年决算数</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b/>
                <w:kern w:val="0"/>
                <w:sz w:val="20"/>
                <w:szCs w:val="20"/>
              </w:rPr>
            </w:pPr>
            <w:r>
              <w:rPr>
                <w:b/>
                <w:kern w:val="0"/>
                <w:sz w:val="20"/>
                <w:szCs w:val="20"/>
                <w:lang w:bidi="ar"/>
              </w:rPr>
              <w:t>201</w:t>
            </w:r>
            <w:r>
              <w:rPr>
                <w:rFonts w:hint="eastAsia"/>
                <w:b/>
                <w:kern w:val="0"/>
                <w:sz w:val="20"/>
                <w:szCs w:val="20"/>
                <w:lang w:val="en-US" w:eastAsia="zh-CN" w:bidi="ar"/>
              </w:rPr>
              <w:t>8</w:t>
            </w:r>
            <w:r>
              <w:rPr>
                <w:rFonts w:ascii="仿宋_GB2312" w:cs="仿宋_GB2312"/>
                <w:b/>
                <w:kern w:val="0"/>
                <w:sz w:val="20"/>
                <w:szCs w:val="20"/>
                <w:lang w:bidi="ar"/>
              </w:rPr>
              <w:t>年预算数</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b/>
                <w:kern w:val="0"/>
                <w:sz w:val="20"/>
                <w:szCs w:val="20"/>
              </w:rPr>
            </w:pPr>
            <w:r>
              <w:rPr>
                <w:b/>
                <w:kern w:val="0"/>
                <w:sz w:val="20"/>
                <w:szCs w:val="20"/>
                <w:lang w:bidi="ar"/>
              </w:rPr>
              <w:t>201</w:t>
            </w:r>
            <w:r>
              <w:rPr>
                <w:rFonts w:hint="eastAsia"/>
                <w:b/>
                <w:kern w:val="0"/>
                <w:sz w:val="20"/>
                <w:szCs w:val="20"/>
                <w:lang w:val="en-US" w:eastAsia="zh-CN" w:bidi="ar"/>
              </w:rPr>
              <w:t>8</w:t>
            </w:r>
            <w:r>
              <w:rPr>
                <w:rFonts w:ascii="仿宋_GB2312" w:cs="仿宋_GB2312"/>
                <w:b/>
                <w:kern w:val="0"/>
                <w:sz w:val="20"/>
                <w:szCs w:val="20"/>
                <w:lang w:bidi="ar"/>
              </w:rPr>
              <w:t>年决算数</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三公经费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eastAsia="仿宋_GB2312"/>
                <w:kern w:val="0"/>
                <w:sz w:val="20"/>
                <w:szCs w:val="20"/>
                <w:lang w:val="en-US" w:eastAsia="zh-CN"/>
              </w:rPr>
            </w:pPr>
            <w:r>
              <w:rPr>
                <w:rFonts w:hint="eastAsia"/>
                <w:kern w:val="0"/>
                <w:sz w:val="20"/>
                <w:szCs w:val="20"/>
                <w:lang w:val="en-US" w:eastAsia="zh-CN" w:bidi="ar"/>
              </w:rPr>
              <w:t>26.24</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rFonts w:hint="eastAsia"/>
                <w:kern w:val="0"/>
                <w:sz w:val="20"/>
                <w:szCs w:val="20"/>
                <w:lang w:val="en-US" w:eastAsia="zh-CN" w:bidi="ar"/>
              </w:rPr>
              <w:t>26.3</w:t>
            </w: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kern w:val="0"/>
                <w:sz w:val="20"/>
                <w:szCs w:val="20"/>
                <w:lang w:bidi="ar"/>
              </w:rPr>
              <w:t>　</w:t>
            </w:r>
            <w:r>
              <w:rPr>
                <w:rFonts w:hint="eastAsia"/>
                <w:kern w:val="0"/>
                <w:sz w:val="20"/>
                <w:szCs w:val="20"/>
                <w:lang w:val="en-US" w:eastAsia="zh-CN" w:bidi="ar"/>
              </w:rPr>
              <w:t>16.63</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1</w:t>
            </w:r>
            <w:r>
              <w:rPr>
                <w:rFonts w:ascii="仿宋_GB2312" w:cs="仿宋_GB2312"/>
                <w:kern w:val="0"/>
                <w:sz w:val="20"/>
                <w:szCs w:val="20"/>
                <w:lang w:bidi="ar"/>
              </w:rPr>
              <w:t>、公务用车购置和维护经费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其中：公车购置</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公车运行维护</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eastAsia="仿宋_GB2312"/>
                <w:kern w:val="0"/>
                <w:sz w:val="20"/>
                <w:szCs w:val="20"/>
                <w:lang w:val="en-US" w:eastAsia="zh-CN"/>
              </w:rPr>
            </w:pPr>
            <w:r>
              <w:rPr>
                <w:kern w:val="0"/>
                <w:sz w:val="20"/>
                <w:szCs w:val="20"/>
                <w:lang w:bidi="ar"/>
              </w:rPr>
              <w:t>　</w:t>
            </w:r>
            <w:r>
              <w:rPr>
                <w:rFonts w:hint="eastAsia"/>
                <w:kern w:val="0"/>
                <w:sz w:val="20"/>
                <w:szCs w:val="20"/>
                <w:lang w:val="en-US" w:eastAsia="zh-CN" w:bidi="ar"/>
              </w:rPr>
              <w:t>17.48</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rFonts w:hint="eastAsia"/>
                <w:kern w:val="0"/>
                <w:sz w:val="20"/>
                <w:szCs w:val="20"/>
                <w:lang w:val="en-US" w:eastAsia="zh-CN" w:bidi="ar"/>
              </w:rPr>
              <w:t>16.3</w:t>
            </w: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rPr>
              <w:t>15.8</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2</w:t>
            </w:r>
            <w:r>
              <w:rPr>
                <w:rFonts w:ascii="仿宋_GB2312" w:cs="仿宋_GB2312"/>
                <w:kern w:val="0"/>
                <w:sz w:val="20"/>
                <w:szCs w:val="20"/>
                <w:lang w:bidi="ar"/>
              </w:rPr>
              <w:t>、出国经费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3</w:t>
            </w:r>
            <w:r>
              <w:rPr>
                <w:rFonts w:ascii="仿宋_GB2312" w:cs="仿宋_GB2312"/>
                <w:kern w:val="0"/>
                <w:sz w:val="20"/>
                <w:szCs w:val="20"/>
                <w:lang w:bidi="ar"/>
              </w:rPr>
              <w:t>、公务接待</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eastAsia="仿宋_GB2312"/>
                <w:kern w:val="0"/>
                <w:sz w:val="20"/>
                <w:szCs w:val="20"/>
                <w:lang w:val="en-US" w:eastAsia="zh-CN"/>
              </w:rPr>
            </w:pPr>
            <w:r>
              <w:rPr>
                <w:kern w:val="0"/>
                <w:sz w:val="20"/>
                <w:szCs w:val="20"/>
                <w:lang w:bidi="ar"/>
              </w:rPr>
              <w:t>　</w:t>
            </w:r>
            <w:r>
              <w:rPr>
                <w:rFonts w:hint="eastAsia"/>
                <w:kern w:val="0"/>
                <w:sz w:val="20"/>
                <w:szCs w:val="20"/>
                <w:lang w:val="en-US" w:eastAsia="zh-CN" w:bidi="ar"/>
              </w:rPr>
              <w:t>8.76</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bidi="ar"/>
              </w:rPr>
              <w:t>10</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rPr>
              <w:t>0.82</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项目支出：</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1</w:t>
            </w:r>
            <w:r>
              <w:rPr>
                <w:rFonts w:ascii="仿宋_GB2312" w:cs="仿宋_GB2312"/>
                <w:kern w:val="0"/>
                <w:sz w:val="20"/>
                <w:szCs w:val="20"/>
                <w:lang w:bidi="ar"/>
              </w:rPr>
              <w:t>、业务工作专项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2</w:t>
            </w:r>
            <w:r>
              <w:rPr>
                <w:rFonts w:ascii="仿宋_GB2312" w:cs="仿宋_GB2312"/>
                <w:kern w:val="0"/>
                <w:sz w:val="20"/>
                <w:szCs w:val="20"/>
                <w:lang w:bidi="ar"/>
              </w:rPr>
              <w:t>、运行维护专项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bookmarkStart w:id="0" w:name="_GoBack"/>
            <w:bookmarkEnd w:id="0"/>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公用经费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bidi="ar"/>
              </w:rPr>
              <w:t>180.08</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rPr>
              <w:t>206.4</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kern w:val="0"/>
                <w:sz w:val="20"/>
                <w:szCs w:val="20"/>
                <w:lang w:bidi="ar"/>
              </w:rPr>
              <w:t>　</w:t>
            </w:r>
            <w:r>
              <w:rPr>
                <w:rFonts w:hint="eastAsia"/>
                <w:kern w:val="0"/>
                <w:sz w:val="20"/>
                <w:szCs w:val="20"/>
                <w:lang w:val="en-US" w:eastAsia="zh-CN" w:bidi="ar"/>
              </w:rPr>
              <w:t>373.65</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其中：办公经费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color w:val="auto"/>
                <w:kern w:val="0"/>
                <w:sz w:val="20"/>
                <w:szCs w:val="20"/>
              </w:rPr>
            </w:pPr>
            <w:r>
              <w:rPr>
                <w:rFonts w:hint="eastAsia"/>
                <w:color w:val="auto"/>
                <w:kern w:val="0"/>
                <w:sz w:val="20"/>
                <w:szCs w:val="20"/>
                <w:lang w:val="en-US" w:eastAsia="zh-CN"/>
              </w:rPr>
              <w:t>26.79</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28</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11.5</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水费、电费、差旅费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eastAsia="仿宋_GB2312"/>
                <w:color w:val="auto"/>
                <w:kern w:val="0"/>
                <w:sz w:val="20"/>
                <w:szCs w:val="20"/>
                <w:lang w:val="en-US" w:eastAsia="zh-CN"/>
              </w:rPr>
            </w:pPr>
            <w:r>
              <w:rPr>
                <w:rFonts w:hint="eastAsia"/>
                <w:color w:val="auto"/>
                <w:kern w:val="0"/>
                <w:sz w:val="20"/>
                <w:szCs w:val="20"/>
                <w:lang w:val="en-US" w:eastAsia="zh-CN"/>
              </w:rPr>
              <w:t>52.38</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72.1</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133.3</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          会议费、培训费</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eastAsia="仿宋_GB2312"/>
                <w:color w:val="auto"/>
                <w:kern w:val="0"/>
                <w:sz w:val="20"/>
                <w:szCs w:val="20"/>
                <w:lang w:val="en-US" w:eastAsia="zh-CN"/>
              </w:rPr>
            </w:pPr>
            <w:r>
              <w:rPr>
                <w:rFonts w:hint="eastAsia"/>
                <w:color w:val="auto"/>
                <w:kern w:val="0"/>
                <w:sz w:val="20"/>
                <w:szCs w:val="20"/>
                <w:lang w:val="en-US" w:eastAsia="zh-CN"/>
              </w:rPr>
              <w:t>12.72</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65</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color w:val="auto"/>
                <w:kern w:val="0"/>
                <w:sz w:val="20"/>
                <w:szCs w:val="20"/>
                <w:lang w:val="en-US" w:eastAsia="zh-CN"/>
              </w:rPr>
            </w:pPr>
            <w:r>
              <w:rPr>
                <w:rFonts w:hint="eastAsia"/>
                <w:color w:val="auto"/>
                <w:kern w:val="0"/>
                <w:sz w:val="20"/>
                <w:szCs w:val="20"/>
                <w:lang w:val="en-US" w:eastAsia="zh-CN"/>
              </w:rPr>
              <w:t>4.48</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政府采购金额</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eastAsia="仿宋_GB2312"/>
                <w:kern w:val="0"/>
                <w:sz w:val="20"/>
                <w:szCs w:val="20"/>
                <w:lang w:val="en-US" w:eastAsia="zh-CN"/>
              </w:rPr>
            </w:pPr>
            <w:r>
              <w:rPr>
                <w:rFonts w:hint="eastAsia"/>
                <w:kern w:val="0"/>
                <w:sz w:val="20"/>
                <w:szCs w:val="20"/>
                <w:lang w:val="en-US" w:eastAsia="zh-CN"/>
              </w:rPr>
              <w:t>0</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lang w:bidi="ar"/>
              </w:rPr>
              <w:t xml:space="preserve">部门整体支出预算调整 </w:t>
            </w:r>
          </w:p>
        </w:tc>
        <w:tc>
          <w:tcPr>
            <w:tcW w:w="2034"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w:t>
            </w:r>
          </w:p>
        </w:tc>
        <w:tc>
          <w:tcPr>
            <w:tcW w:w="2281"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c>
          <w:tcPr>
            <w:tcW w:w="224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lang w:bidi="ar"/>
              </w:rPr>
              <w:t>楼堂馆所控制情况</w:t>
            </w:r>
            <w:r>
              <w:rPr>
                <w:kern w:val="0"/>
                <w:sz w:val="20"/>
                <w:szCs w:val="20"/>
                <w:lang w:bidi="ar"/>
              </w:rPr>
              <w:br w:type="textWrapping"/>
            </w:r>
            <w:r>
              <w:rPr>
                <w:kern w:val="0"/>
                <w:sz w:val="20"/>
                <w:szCs w:val="20"/>
                <w:lang w:bidi="ar"/>
              </w:rPr>
              <w:t>（201</w:t>
            </w:r>
            <w:r>
              <w:rPr>
                <w:rFonts w:hint="eastAsia"/>
                <w:kern w:val="0"/>
                <w:sz w:val="20"/>
                <w:szCs w:val="20"/>
                <w:lang w:bidi="ar"/>
              </w:rPr>
              <w:t>7</w:t>
            </w:r>
            <w:r>
              <w:rPr>
                <w:rFonts w:ascii="仿宋_GB2312" w:cs="仿宋_GB2312"/>
                <w:kern w:val="0"/>
                <w:sz w:val="20"/>
                <w:szCs w:val="20"/>
                <w:lang w:bidi="ar"/>
              </w:rPr>
              <w:t>年完工项目）</w:t>
            </w:r>
          </w:p>
        </w:tc>
        <w:tc>
          <w:tcPr>
            <w:tcW w:w="1196"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批复规模</w:t>
            </w:r>
            <w:r>
              <w:rPr>
                <w:b/>
                <w:kern w:val="0"/>
                <w:sz w:val="20"/>
                <w:szCs w:val="20"/>
                <w:lang w:bidi="ar"/>
              </w:rPr>
              <w:br w:type="textWrapping"/>
            </w:r>
            <w:r>
              <w:rPr>
                <w:b/>
                <w:kern w:val="0"/>
                <w:sz w:val="20"/>
                <w:szCs w:val="20"/>
                <w:lang w:bidi="ar"/>
              </w:rPr>
              <w:t>（㎡）</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实际规模（㎡）</w:t>
            </w: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仿宋_GB2312"/>
                <w:b/>
                <w:kern w:val="0"/>
                <w:sz w:val="20"/>
                <w:szCs w:val="20"/>
              </w:rPr>
            </w:pPr>
            <w:r>
              <w:rPr>
                <w:b/>
                <w:kern w:val="0"/>
                <w:sz w:val="20"/>
                <w:szCs w:val="20"/>
                <w:lang w:bidi="ar"/>
              </w:rPr>
              <w:t>规模控</w:t>
            </w:r>
          </w:p>
          <w:p>
            <w:pPr>
              <w:widowControl/>
              <w:spacing w:line="320" w:lineRule="exact"/>
              <w:jc w:val="center"/>
              <w:rPr>
                <w:b/>
                <w:kern w:val="0"/>
                <w:sz w:val="20"/>
                <w:szCs w:val="20"/>
              </w:rPr>
            </w:pPr>
            <w:r>
              <w:rPr>
                <w:b/>
                <w:kern w:val="0"/>
                <w:sz w:val="20"/>
                <w:szCs w:val="20"/>
                <w:lang w:bidi="ar"/>
              </w:rPr>
              <w:t>制率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预算投资（万元）</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仿宋_GB2312"/>
                <w:b/>
                <w:kern w:val="0"/>
                <w:sz w:val="20"/>
                <w:szCs w:val="20"/>
              </w:rPr>
            </w:pPr>
            <w:r>
              <w:rPr>
                <w:b/>
                <w:kern w:val="0"/>
                <w:sz w:val="20"/>
                <w:szCs w:val="20"/>
                <w:lang w:bidi="ar"/>
              </w:rPr>
              <w:t>实际投资</w:t>
            </w:r>
          </w:p>
          <w:p>
            <w:pPr>
              <w:widowControl/>
              <w:spacing w:line="320" w:lineRule="exact"/>
              <w:jc w:val="center"/>
              <w:rPr>
                <w:b/>
                <w:kern w:val="0"/>
                <w:sz w:val="20"/>
                <w:szCs w:val="20"/>
              </w:rPr>
            </w:pPr>
            <w:r>
              <w:rPr>
                <w:b/>
                <w:kern w:val="0"/>
                <w:sz w:val="20"/>
                <w:szCs w:val="20"/>
                <w:lang w:bidi="ar"/>
              </w:rPr>
              <w:t>（万元）</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0"/>
                <w:szCs w:val="20"/>
              </w:rPr>
            </w:pPr>
            <w:r>
              <w:rPr>
                <w:b/>
                <w:kern w:val="0"/>
                <w:sz w:val="20"/>
                <w:szCs w:val="20"/>
                <w:lang w:bidi="ar"/>
              </w:rPr>
              <w:t>投资概算控制率</w:t>
            </w:r>
          </w:p>
        </w:tc>
      </w:tr>
      <w:tr>
        <w:tblPrEx>
          <w:tblLayout w:type="fixed"/>
          <w:tblCellMar>
            <w:top w:w="0" w:type="dxa"/>
            <w:left w:w="108" w:type="dxa"/>
            <w:bottom w:w="0" w:type="dxa"/>
            <w:right w:w="108" w:type="dxa"/>
          </w:tblCellMar>
        </w:tblPrEx>
        <w:trPr>
          <w:trHeight w:val="488" w:hRule="atLeast"/>
          <w:jc w:val="center"/>
        </w:trPr>
        <w:tc>
          <w:tcPr>
            <w:tcW w:w="2936" w:type="dxa"/>
            <w:vMerge w:val="continue"/>
            <w:tcBorders>
              <w:top w:val="nil"/>
              <w:left w:val="single" w:color="auto" w:sz="4" w:space="0"/>
              <w:bottom w:val="single" w:color="auto" w:sz="4" w:space="0"/>
              <w:right w:val="single" w:color="auto" w:sz="4" w:space="0"/>
            </w:tcBorders>
            <w:vAlign w:val="center"/>
          </w:tcPr>
          <w:p>
            <w:pPr>
              <w:widowControl/>
              <w:spacing w:line="320" w:lineRule="exact"/>
              <w:rPr>
                <w:sz w:val="20"/>
                <w:szCs w:val="20"/>
              </w:rPr>
            </w:pPr>
          </w:p>
        </w:tc>
        <w:tc>
          <w:tcPr>
            <w:tcW w:w="1190"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center"/>
              <w:rPr>
                <w:kern w:val="0"/>
                <w:sz w:val="20"/>
                <w:szCs w:val="20"/>
              </w:rPr>
            </w:pPr>
            <w:r>
              <w:rPr>
                <w:kern w:val="0"/>
                <w:sz w:val="20"/>
                <w:szCs w:val="20"/>
                <w:lang w:bidi="ar"/>
              </w:rPr>
              <w:t>　</w:t>
            </w:r>
          </w:p>
        </w:tc>
        <w:tc>
          <w:tcPr>
            <w:tcW w:w="844" w:type="dxa"/>
            <w:gridSpan w:val="2"/>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left"/>
              <w:rPr>
                <w:kern w:val="0"/>
                <w:sz w:val="20"/>
                <w:szCs w:val="20"/>
              </w:rPr>
            </w:pPr>
            <w:r>
              <w:rPr>
                <w:kern w:val="0"/>
                <w:sz w:val="20"/>
                <w:szCs w:val="20"/>
                <w:lang w:bidi="ar"/>
              </w:rPr>
              <w:t>　</w:t>
            </w:r>
          </w:p>
        </w:tc>
        <w:tc>
          <w:tcPr>
            <w:tcW w:w="1147"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left"/>
              <w:rPr>
                <w:kern w:val="0"/>
                <w:sz w:val="20"/>
                <w:szCs w:val="20"/>
              </w:rPr>
            </w:pPr>
            <w:r>
              <w:rPr>
                <w:kern w:val="0"/>
                <w:sz w:val="20"/>
                <w:szCs w:val="20"/>
                <w:lang w:bidi="ar"/>
              </w:rPr>
              <w:t>　</w:t>
            </w:r>
          </w:p>
        </w:tc>
        <w:tc>
          <w:tcPr>
            <w:tcW w:w="1134"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left"/>
              <w:rPr>
                <w:kern w:val="0"/>
                <w:sz w:val="20"/>
                <w:szCs w:val="20"/>
              </w:rPr>
            </w:pPr>
            <w:r>
              <w:rPr>
                <w:kern w:val="0"/>
                <w:sz w:val="20"/>
                <w:szCs w:val="20"/>
                <w:lang w:bidi="ar"/>
              </w:rPr>
              <w:t>　</w:t>
            </w:r>
          </w:p>
        </w:tc>
        <w:tc>
          <w:tcPr>
            <w:tcW w:w="1167"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left"/>
              <w:rPr>
                <w:kern w:val="0"/>
                <w:sz w:val="20"/>
                <w:szCs w:val="20"/>
              </w:rPr>
            </w:pPr>
            <w:r>
              <w:rPr>
                <w:kern w:val="0"/>
                <w:sz w:val="20"/>
                <w:szCs w:val="20"/>
                <w:lang w:bidi="ar"/>
              </w:rPr>
              <w:t>　</w:t>
            </w:r>
          </w:p>
        </w:tc>
        <w:tc>
          <w:tcPr>
            <w:tcW w:w="1079"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320" w:lineRule="exact"/>
              <w:jc w:val="left"/>
              <w:rPr>
                <w:kern w:val="0"/>
                <w:sz w:val="20"/>
                <w:szCs w:val="20"/>
              </w:rPr>
            </w:pPr>
            <w:r>
              <w:rPr>
                <w:kern w:val="0"/>
                <w:sz w:val="20"/>
                <w:szCs w:val="20"/>
                <w:lang w:bidi="ar"/>
              </w:rPr>
              <w:t>　</w:t>
            </w:r>
          </w:p>
        </w:tc>
      </w:tr>
      <w:tr>
        <w:tblPrEx>
          <w:tblLayout w:type="fixed"/>
          <w:tblCellMar>
            <w:top w:w="0" w:type="dxa"/>
            <w:left w:w="108" w:type="dxa"/>
            <w:bottom w:w="0" w:type="dxa"/>
            <w:right w:w="108" w:type="dxa"/>
          </w:tblCellMar>
        </w:tblPrEx>
        <w:trPr>
          <w:trHeight w:val="488" w:hRule="atLeast"/>
          <w:jc w:val="center"/>
        </w:trPr>
        <w:tc>
          <w:tcPr>
            <w:tcW w:w="2936" w:type="dxa"/>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lang w:bidi="ar"/>
              </w:rPr>
              <w:t>厉行节约保障措施</w:t>
            </w:r>
          </w:p>
        </w:tc>
        <w:tc>
          <w:tcPr>
            <w:tcW w:w="6561" w:type="dxa"/>
            <w:gridSpan w:val="7"/>
            <w:tcBorders>
              <w:top w:val="single" w:color="auto" w:sz="4" w:space="0"/>
              <w:left w:val="nil"/>
              <w:bottom w:val="single" w:color="auto" w:sz="4" w:space="0"/>
              <w:right w:val="single" w:color="000000" w:sz="4" w:space="0"/>
            </w:tcBorders>
            <w:vAlign w:val="center"/>
          </w:tcPr>
          <w:p>
            <w:pPr>
              <w:widowControl/>
              <w:spacing w:line="320" w:lineRule="exact"/>
              <w:jc w:val="center"/>
              <w:rPr>
                <w:kern w:val="0"/>
                <w:sz w:val="24"/>
              </w:rPr>
            </w:pPr>
            <w:r>
              <w:rPr>
                <w:kern w:val="0"/>
                <w:sz w:val="24"/>
                <w:lang w:bidi="ar"/>
              </w:rPr>
              <w:t>　</w:t>
            </w:r>
          </w:p>
        </w:tc>
      </w:tr>
    </w:tbl>
    <w:p>
      <w:pPr>
        <w:widowControl/>
        <w:spacing w:line="320" w:lineRule="exact"/>
        <w:jc w:val="left"/>
        <w:rPr>
          <w:rFonts w:ascii="仿宋_GB2312" w:hAnsi="宋体" w:cs="宋体"/>
          <w:kern w:val="0"/>
          <w:sz w:val="22"/>
          <w:szCs w:val="22"/>
        </w:rPr>
      </w:pPr>
      <w:r>
        <w:rPr>
          <w:rFonts w:ascii="仿宋_GB2312" w:hAnsi="宋体" w:cs="仿宋_GB2312"/>
          <w:kern w:val="0"/>
          <w:sz w:val="22"/>
          <w:szCs w:val="22"/>
          <w:lang w:bidi="ar"/>
        </w:rPr>
        <w:t>说明：</w:t>
      </w:r>
      <w:r>
        <w:rPr>
          <w:rFonts w:ascii="仿宋_GB2312" w:hAnsi="宋体" w:cs="宋体"/>
          <w:kern w:val="0"/>
          <w:sz w:val="22"/>
          <w:szCs w:val="22"/>
          <w:lang w:bidi="ar"/>
        </w:rPr>
        <w:t>“项目支出”需要填报除专项资金和基本支出以外的所有项目情况，包括业务工作项目、运行维护项目等；“公用经费”填报基本支出中的一般商品和服务支出。</w:t>
      </w:r>
    </w:p>
    <w:p>
      <w:pPr>
        <w:tabs>
          <w:tab w:val="left" w:pos="2720"/>
        </w:tabs>
        <w:ind w:right="640"/>
        <w:rPr>
          <w:rFonts w:eastAsia="楷体_GB2312"/>
          <w:szCs w:val="32"/>
        </w:rPr>
        <w:sectPr>
          <w:footerReference r:id="rId7" w:type="first"/>
          <w:headerReference r:id="rId3" w:type="default"/>
          <w:footerReference r:id="rId5" w:type="default"/>
          <w:headerReference r:id="rId4" w:type="even"/>
          <w:footerReference r:id="rId6" w:type="even"/>
          <w:pgSz w:w="11906" w:h="16838"/>
          <w:pgMar w:top="1418" w:right="1531" w:bottom="1418" w:left="1531" w:header="851" w:footer="992" w:gutter="0"/>
          <w:pgBorders>
            <w:top w:val="none" w:sz="0" w:space="0"/>
            <w:left w:val="none" w:sz="0" w:space="0"/>
            <w:bottom w:val="none" w:sz="0" w:space="0"/>
            <w:right w:val="none" w:sz="0" w:space="0"/>
          </w:pgBorders>
          <w:pgNumType w:fmt="numberInDash"/>
          <w:cols w:space="720" w:num="1"/>
          <w:titlePg/>
          <w:docGrid w:linePitch="610" w:charSpace="-1683"/>
        </w:sectPr>
      </w:pPr>
    </w:p>
    <w:p>
      <w:pPr>
        <w:tabs>
          <w:tab w:val="left" w:pos="2720"/>
        </w:tabs>
        <w:spacing w:line="360" w:lineRule="exact"/>
        <w:ind w:right="641"/>
        <w:rPr>
          <w:rFonts w:hint="eastAsia" w:ascii="黑体" w:eastAsia="黑体"/>
          <w:szCs w:val="32"/>
        </w:rPr>
      </w:pPr>
      <w:r>
        <w:rPr>
          <w:rFonts w:hint="eastAsia" w:ascii="黑体" w:eastAsia="黑体"/>
          <w:szCs w:val="32"/>
        </w:rPr>
        <w:t>附件2</w:t>
      </w:r>
    </w:p>
    <w:p>
      <w:pPr>
        <w:spacing w:line="560" w:lineRule="exact"/>
        <w:jc w:val="center"/>
        <w:rPr>
          <w:rFonts w:ascii="方正大标宋简体" w:hAnsi="方正大标宋简体" w:eastAsia="方正大标宋简体" w:cs="方正小标宋_GBK"/>
          <w:kern w:val="0"/>
          <w:sz w:val="36"/>
          <w:szCs w:val="36"/>
          <w:lang w:bidi="ar"/>
        </w:rPr>
      </w:pPr>
      <w:r>
        <w:rPr>
          <w:rFonts w:hint="eastAsia" w:ascii="方正大标宋简体" w:hAnsi="方正大标宋简体" w:eastAsia="方正大标宋简体" w:cs="方正小标宋_GBK"/>
          <w:kern w:val="0"/>
          <w:sz w:val="36"/>
          <w:szCs w:val="36"/>
          <w:lang w:bidi="ar"/>
        </w:rPr>
        <w:t>部门整体支出绩效评价指标表</w:t>
      </w:r>
    </w:p>
    <w:tbl>
      <w:tblPr>
        <w:tblStyle w:val="4"/>
        <w:tblW w:w="9560" w:type="dxa"/>
        <w:jc w:val="center"/>
        <w:tblInd w:w="0" w:type="dxa"/>
        <w:tblLayout w:type="fixed"/>
        <w:tblCellMar>
          <w:top w:w="0" w:type="dxa"/>
          <w:left w:w="108" w:type="dxa"/>
          <w:bottom w:w="0" w:type="dxa"/>
          <w:right w:w="108" w:type="dxa"/>
        </w:tblCellMar>
      </w:tblPr>
      <w:tblGrid>
        <w:gridCol w:w="490"/>
        <w:gridCol w:w="545"/>
        <w:gridCol w:w="706"/>
        <w:gridCol w:w="437"/>
        <w:gridCol w:w="790"/>
        <w:gridCol w:w="314"/>
        <w:gridCol w:w="2642"/>
        <w:gridCol w:w="2"/>
        <w:gridCol w:w="2996"/>
        <w:gridCol w:w="638"/>
      </w:tblGrid>
      <w:tr>
        <w:tblPrEx>
          <w:tblLayout w:type="fixed"/>
          <w:tblCellMar>
            <w:top w:w="0" w:type="dxa"/>
            <w:left w:w="108" w:type="dxa"/>
            <w:bottom w:w="0" w:type="dxa"/>
            <w:right w:w="108" w:type="dxa"/>
          </w:tblCellMar>
        </w:tblPrEx>
        <w:trPr>
          <w:trHeight w:val="653" w:hRule="atLeast"/>
          <w:tblHeader/>
          <w:jc w:val="center"/>
        </w:trPr>
        <w:tc>
          <w:tcPr>
            <w:tcW w:w="4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5"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6"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二级</w:t>
            </w:r>
          </w:p>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43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90"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314"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642"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998" w:type="dxa"/>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38"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1700" w:hRule="atLeast"/>
          <w:jc w:val="center"/>
        </w:trPr>
        <w:tc>
          <w:tcPr>
            <w:tcW w:w="490"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投入</w:t>
            </w:r>
          </w:p>
        </w:tc>
        <w:tc>
          <w:tcPr>
            <w:tcW w:w="545"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706" w:type="dxa"/>
            <w:vMerge w:val="restart"/>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w:t>
            </w:r>
          </w:p>
          <w:p>
            <w:pPr>
              <w:widowControl/>
              <w:jc w:val="center"/>
              <w:rPr>
                <w:rFonts w:hint="eastAsia" w:ascii="仿宋_GB2312" w:hAnsi="宋体" w:cs="宋体"/>
                <w:kern w:val="0"/>
                <w:sz w:val="20"/>
                <w:szCs w:val="20"/>
              </w:rPr>
            </w:pPr>
            <w:r>
              <w:rPr>
                <w:rFonts w:hint="eastAsia" w:ascii="仿宋_GB2312" w:hAnsi="宋体" w:cs="宋体"/>
                <w:kern w:val="0"/>
                <w:sz w:val="20"/>
                <w:szCs w:val="20"/>
              </w:rPr>
              <w:t>配置</w:t>
            </w:r>
          </w:p>
        </w:tc>
        <w:tc>
          <w:tcPr>
            <w:tcW w:w="437"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nil"/>
              <w:right w:val="nil"/>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98" w:type="dxa"/>
            <w:gridSpan w:val="2"/>
            <w:tcBorders>
              <w:top w:val="nil"/>
              <w:left w:val="single" w:color="auto" w:sz="4" w:space="0"/>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330" w:hRule="atLeast"/>
          <w:jc w:val="center"/>
        </w:trPr>
        <w:tc>
          <w:tcPr>
            <w:tcW w:w="490"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642"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8分</w:t>
            </w:r>
          </w:p>
        </w:tc>
      </w:tr>
      <w:tr>
        <w:tblPrEx>
          <w:tblLayout w:type="fixed"/>
          <w:tblCellMar>
            <w:top w:w="0" w:type="dxa"/>
            <w:left w:w="108" w:type="dxa"/>
            <w:bottom w:w="0" w:type="dxa"/>
            <w:right w:w="108" w:type="dxa"/>
          </w:tblCellMar>
        </w:tblPrEx>
        <w:trPr>
          <w:trHeight w:val="1184" w:hRule="atLeast"/>
          <w:jc w:val="center"/>
        </w:trPr>
        <w:tc>
          <w:tcPr>
            <w:tcW w:w="490"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过                                                                                                                                       程</w:t>
            </w:r>
          </w:p>
        </w:tc>
        <w:tc>
          <w:tcPr>
            <w:tcW w:w="545"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61</w:t>
            </w:r>
          </w:p>
        </w:tc>
        <w:tc>
          <w:tcPr>
            <w:tcW w:w="706"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w:t>
            </w:r>
          </w:p>
          <w:p>
            <w:pPr>
              <w:widowControl/>
              <w:jc w:val="center"/>
              <w:rPr>
                <w:rFonts w:hint="eastAsia" w:ascii="仿宋_GB2312" w:hAnsi="宋体" w:cs="宋体"/>
                <w:kern w:val="0"/>
                <w:sz w:val="20"/>
                <w:szCs w:val="20"/>
              </w:rPr>
            </w:pPr>
            <w:r>
              <w:rPr>
                <w:rFonts w:hint="eastAsia" w:ascii="仿宋_GB2312" w:hAnsi="宋体" w:cs="宋体"/>
                <w:kern w:val="0"/>
                <w:sz w:val="20"/>
                <w:szCs w:val="20"/>
              </w:rPr>
              <w:t>执行</w:t>
            </w:r>
          </w:p>
        </w:tc>
        <w:tc>
          <w:tcPr>
            <w:tcW w:w="437"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028"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16"/>
                <w:szCs w:val="16"/>
              </w:rPr>
              <w:t>预算控制率=0，计5分；0-10%（含），计4分；10-20%（含），计3分；20-30%（含），计2分；大于30%不得分。</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768"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4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该指标以2017年完工的新建楼堂馆所为评价内容。</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768"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18"/>
                <w:szCs w:val="18"/>
              </w:rPr>
              <w:t>新建楼堂馆所投资概算控制率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40" w:lineRule="exact"/>
              <w:jc w:val="left"/>
              <w:rPr>
                <w:rFonts w:hint="eastAsia"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该指标以2017年完工的新建楼堂馆所为评价内容。</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330"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w:t>
            </w:r>
          </w:p>
          <w:p>
            <w:pPr>
              <w:widowControl/>
              <w:jc w:val="center"/>
              <w:rPr>
                <w:rFonts w:hint="eastAsia" w:ascii="仿宋_GB2312" w:hAnsi="宋体" w:cs="宋体"/>
                <w:kern w:val="0"/>
                <w:sz w:val="20"/>
                <w:szCs w:val="20"/>
              </w:rPr>
            </w:pPr>
            <w:r>
              <w:rPr>
                <w:rFonts w:hint="eastAsia" w:ascii="仿宋_GB2312" w:hAnsi="宋体" w:cs="宋体"/>
                <w:kern w:val="0"/>
                <w:sz w:val="20"/>
                <w:szCs w:val="20"/>
              </w:rPr>
              <w:t>管理</w:t>
            </w:r>
          </w:p>
        </w:tc>
        <w:tc>
          <w:tcPr>
            <w:tcW w:w="437"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41</w:t>
            </w: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4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843"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center"/>
              <w:rPr>
                <w:rFonts w:hint="eastAsia" w:ascii="仿宋_GB2312" w:hAnsi="宋体" w:cs="宋体"/>
                <w:kern w:val="0"/>
                <w:sz w:val="18"/>
                <w:szCs w:val="18"/>
              </w:rPr>
            </w:pPr>
            <w:r>
              <w:rPr>
                <w:rFonts w:hint="eastAsia" w:ascii="仿宋_GB2312" w:hAnsi="宋体" w:cs="宋体"/>
                <w:kern w:val="0"/>
                <w:sz w:val="18"/>
                <w:szCs w:val="18"/>
              </w:rPr>
              <w:t>“三公经费”控制率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8</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100%以下（含）计满分，每超出1%扣1分，扣完为止。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4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8分</w:t>
            </w:r>
          </w:p>
        </w:tc>
      </w:tr>
      <w:tr>
        <w:tblPrEx>
          <w:tblLayout w:type="fixed"/>
          <w:tblCellMar>
            <w:top w:w="0" w:type="dxa"/>
            <w:left w:w="108" w:type="dxa"/>
            <w:bottom w:w="0" w:type="dxa"/>
            <w:right w:w="108" w:type="dxa"/>
          </w:tblCellMar>
        </w:tblPrEx>
        <w:trPr>
          <w:trHeight w:val="716" w:hRule="atLeast"/>
          <w:jc w:val="center"/>
        </w:trPr>
        <w:tc>
          <w:tcPr>
            <w:tcW w:w="490"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center"/>
              <w:rPr>
                <w:rFonts w:hint="eastAsia" w:ascii="仿宋_GB2312" w:hAnsi="宋体" w:cs="宋体"/>
                <w:kern w:val="0"/>
                <w:sz w:val="20"/>
                <w:szCs w:val="20"/>
              </w:rPr>
            </w:pPr>
            <w:r>
              <w:rPr>
                <w:rFonts w:hint="eastAsia" w:ascii="仿宋_GB2312" w:hAnsi="宋体" w:cs="宋体"/>
                <w:kern w:val="0"/>
                <w:sz w:val="18"/>
                <w:szCs w:val="18"/>
              </w:rPr>
              <w:t>政府采购执行率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18"/>
                <w:szCs w:val="20"/>
              </w:rPr>
              <w:t>政府采购执行率=（实际政府采购金额/政府采购预算数）×100%</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6分</w:t>
            </w:r>
          </w:p>
        </w:tc>
      </w:tr>
      <w:tr>
        <w:tblPrEx>
          <w:tblLayout w:type="fixed"/>
          <w:tblCellMar>
            <w:top w:w="0" w:type="dxa"/>
            <w:left w:w="108" w:type="dxa"/>
            <w:bottom w:w="0" w:type="dxa"/>
            <w:right w:w="108" w:type="dxa"/>
          </w:tblCellMar>
        </w:tblPrEx>
        <w:trPr>
          <w:trHeight w:val="1664" w:hRule="atLeast"/>
          <w:jc w:val="center"/>
        </w:trPr>
        <w:tc>
          <w:tcPr>
            <w:tcW w:w="490" w:type="dxa"/>
            <w:vMerge w:val="restart"/>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过                                                                                                                                       程</w:t>
            </w:r>
          </w:p>
        </w:tc>
        <w:tc>
          <w:tcPr>
            <w:tcW w:w="545" w:type="dxa"/>
            <w:vMerge w:val="restart"/>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61</w:t>
            </w:r>
          </w:p>
        </w:tc>
        <w:tc>
          <w:tcPr>
            <w:tcW w:w="706" w:type="dxa"/>
            <w:vMerge w:val="restart"/>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预算</w:t>
            </w:r>
          </w:p>
          <w:p>
            <w:pPr>
              <w:widowControl/>
              <w:jc w:val="center"/>
              <w:rPr>
                <w:rFonts w:hint="eastAsia" w:ascii="仿宋_GB2312" w:hAnsi="宋体" w:cs="宋体"/>
                <w:kern w:val="0"/>
                <w:sz w:val="20"/>
                <w:szCs w:val="20"/>
              </w:rPr>
            </w:pPr>
            <w:r>
              <w:rPr>
                <w:rFonts w:hint="eastAsia" w:ascii="仿宋_GB2312" w:hAnsi="宋体" w:cs="宋体"/>
                <w:kern w:val="0"/>
                <w:sz w:val="20"/>
                <w:szCs w:val="20"/>
              </w:rPr>
              <w:t>管理</w:t>
            </w: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8分</w:t>
            </w:r>
          </w:p>
        </w:tc>
      </w:tr>
      <w:tr>
        <w:tblPrEx>
          <w:tblLayout w:type="fixed"/>
          <w:tblCellMar>
            <w:top w:w="0" w:type="dxa"/>
            <w:left w:w="108" w:type="dxa"/>
            <w:bottom w:w="0" w:type="dxa"/>
            <w:right w:w="108" w:type="dxa"/>
          </w:tblCellMar>
        </w:tblPrEx>
        <w:trPr>
          <w:trHeight w:val="3032"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6分</w:t>
            </w:r>
          </w:p>
        </w:tc>
      </w:tr>
      <w:tr>
        <w:tblPrEx>
          <w:tblLayout w:type="fixed"/>
          <w:tblCellMar>
            <w:top w:w="0" w:type="dxa"/>
            <w:left w:w="108" w:type="dxa"/>
            <w:bottom w:w="0" w:type="dxa"/>
            <w:right w:w="108" w:type="dxa"/>
          </w:tblCellMar>
        </w:tblPrEx>
        <w:trPr>
          <w:trHeight w:val="2208"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预决算信息公开性</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5分</w:t>
            </w:r>
          </w:p>
        </w:tc>
      </w:tr>
      <w:tr>
        <w:tblPrEx>
          <w:tblLayout w:type="fixed"/>
          <w:tblCellMar>
            <w:top w:w="0" w:type="dxa"/>
            <w:left w:w="108" w:type="dxa"/>
            <w:bottom w:w="0" w:type="dxa"/>
            <w:right w:w="108" w:type="dxa"/>
          </w:tblCellMar>
        </w:tblPrEx>
        <w:trPr>
          <w:trHeight w:val="1385" w:hRule="atLeast"/>
          <w:jc w:val="center"/>
        </w:trPr>
        <w:tc>
          <w:tcPr>
            <w:tcW w:w="490"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5"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26</w:t>
            </w:r>
          </w:p>
        </w:tc>
        <w:tc>
          <w:tcPr>
            <w:tcW w:w="706"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职责</w:t>
            </w:r>
          </w:p>
          <w:p>
            <w:pPr>
              <w:widowControl/>
              <w:jc w:val="center"/>
              <w:rPr>
                <w:rFonts w:hint="eastAsia" w:ascii="仿宋_GB2312" w:hAnsi="宋体" w:cs="宋体"/>
                <w:kern w:val="0"/>
                <w:sz w:val="20"/>
                <w:szCs w:val="20"/>
              </w:rPr>
            </w:pPr>
            <w:r>
              <w:rPr>
                <w:rFonts w:hint="eastAsia" w:ascii="仿宋_GB2312" w:hAnsi="宋体" w:cs="宋体"/>
                <w:kern w:val="0"/>
                <w:sz w:val="20"/>
                <w:szCs w:val="20"/>
              </w:rPr>
              <w:t>履行</w:t>
            </w:r>
          </w:p>
        </w:tc>
        <w:tc>
          <w:tcPr>
            <w:tcW w:w="437"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8</w:t>
            </w: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642"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根据绩效办2017年对各部门为民办实事和部门重点工程与重点工作考核分数折算。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98"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8分</w:t>
            </w:r>
          </w:p>
        </w:tc>
      </w:tr>
      <w:tr>
        <w:tblPrEx>
          <w:tblLayout w:type="fixed"/>
          <w:tblCellMar>
            <w:top w:w="0" w:type="dxa"/>
            <w:left w:w="108" w:type="dxa"/>
            <w:bottom w:w="0" w:type="dxa"/>
            <w:right w:w="108" w:type="dxa"/>
          </w:tblCellMar>
        </w:tblPrEx>
        <w:trPr>
          <w:trHeight w:val="469"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履职 效益</w:t>
            </w:r>
          </w:p>
        </w:tc>
        <w:tc>
          <w:tcPr>
            <w:tcW w:w="437"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790"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18"/>
                <w:szCs w:val="18"/>
              </w:rPr>
              <w:t>经济效益</w:t>
            </w:r>
          </w:p>
        </w:tc>
        <w:tc>
          <w:tcPr>
            <w:tcW w:w="314" w:type="dxa"/>
            <w:vMerge w:val="restart"/>
            <w:tcBorders>
              <w:top w:val="nil"/>
              <w:left w:val="single" w:color="auto" w:sz="4" w:space="0"/>
              <w:bottom w:val="nil"/>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640" w:type="dxa"/>
            <w:gridSpan w:val="3"/>
            <w:vMerge w:val="restart"/>
            <w:tcBorders>
              <w:top w:val="single" w:color="auto" w:sz="4" w:space="0"/>
              <w:left w:val="single" w:color="auto" w:sz="4" w:space="0"/>
              <w:bottom w:val="nil"/>
              <w:right w:val="single" w:color="000000"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8" w:type="dxa"/>
            <w:vMerge w:val="restart"/>
            <w:tcBorders>
              <w:top w:val="nil"/>
              <w:left w:val="nil"/>
              <w:right w:val="single" w:color="auto" w:sz="4" w:space="0"/>
            </w:tcBorders>
            <w:tcMar>
              <w:left w:w="28" w:type="dxa"/>
              <w:right w:w="28" w:type="dxa"/>
            </w:tcMar>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6分</w:t>
            </w:r>
          </w:p>
        </w:tc>
      </w:tr>
      <w:tr>
        <w:tblPrEx>
          <w:tblLayout w:type="fixed"/>
          <w:tblCellMar>
            <w:top w:w="0" w:type="dxa"/>
            <w:left w:w="108" w:type="dxa"/>
            <w:bottom w:w="0" w:type="dxa"/>
            <w:right w:w="108" w:type="dxa"/>
          </w:tblCellMar>
        </w:tblPrEx>
        <w:trPr>
          <w:trHeight w:val="469"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18"/>
                <w:szCs w:val="18"/>
              </w:rPr>
              <w:t>社会效益</w:t>
            </w:r>
          </w:p>
        </w:tc>
        <w:tc>
          <w:tcPr>
            <w:tcW w:w="314" w:type="dxa"/>
            <w:vMerge w:val="continue"/>
            <w:tcBorders>
              <w:top w:val="nil"/>
              <w:left w:val="single" w:color="auto" w:sz="4" w:space="0"/>
              <w:bottom w:val="nil"/>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640" w:type="dxa"/>
            <w:gridSpan w:val="3"/>
            <w:vMerge w:val="continue"/>
            <w:tcBorders>
              <w:top w:val="single" w:color="auto" w:sz="4" w:space="0"/>
              <w:left w:val="single" w:color="auto" w:sz="4" w:space="0"/>
              <w:bottom w:val="nil"/>
              <w:right w:val="single" w:color="000000"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p>
        </w:tc>
        <w:tc>
          <w:tcPr>
            <w:tcW w:w="638" w:type="dxa"/>
            <w:vMerge w:val="continue"/>
            <w:tcBorders>
              <w:left w:val="nil"/>
              <w:bottom w:val="nil"/>
              <w:right w:val="single" w:color="auto" w:sz="4" w:space="0"/>
            </w:tcBorders>
            <w:tcMar>
              <w:left w:w="28" w:type="dxa"/>
              <w:right w:w="28" w:type="dxa"/>
            </w:tcMar>
            <w:vAlign w:val="center"/>
          </w:tcPr>
          <w:p>
            <w:pPr>
              <w:widowControl/>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trHeight w:val="1659" w:hRule="atLeast"/>
          <w:jc w:val="center"/>
        </w:trPr>
        <w:tc>
          <w:tcPr>
            <w:tcW w:w="49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314"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644" w:type="dxa"/>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96"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38"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6分</w:t>
            </w:r>
          </w:p>
        </w:tc>
      </w:tr>
      <w:tr>
        <w:tblPrEx>
          <w:tblLayout w:type="fixed"/>
          <w:tblCellMar>
            <w:top w:w="0" w:type="dxa"/>
            <w:left w:w="108" w:type="dxa"/>
            <w:bottom w:w="0" w:type="dxa"/>
            <w:right w:w="108" w:type="dxa"/>
          </w:tblCellMar>
        </w:tblPrEx>
        <w:trPr>
          <w:trHeight w:val="1768" w:hRule="atLeast"/>
          <w:jc w:val="center"/>
        </w:trPr>
        <w:tc>
          <w:tcPr>
            <w:tcW w:w="490"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545"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0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437"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p>
        </w:tc>
        <w:tc>
          <w:tcPr>
            <w:tcW w:w="790"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314" w:type="dxa"/>
            <w:tcBorders>
              <w:top w:val="nil"/>
              <w:left w:val="nil"/>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644" w:type="dxa"/>
            <w:gridSpan w:val="2"/>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96" w:type="dxa"/>
            <w:tcBorders>
              <w:top w:val="nil"/>
              <w:left w:val="nil"/>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8" w:type="dxa"/>
            <w:tcBorders>
              <w:top w:val="nil"/>
              <w:left w:val="nil"/>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6分</w:t>
            </w:r>
          </w:p>
        </w:tc>
      </w:tr>
      <w:tr>
        <w:tblPrEx>
          <w:tblLayout w:type="fixed"/>
          <w:tblCellMar>
            <w:top w:w="0" w:type="dxa"/>
            <w:left w:w="108" w:type="dxa"/>
            <w:bottom w:w="0" w:type="dxa"/>
            <w:right w:w="108" w:type="dxa"/>
          </w:tblCellMar>
        </w:tblPrEx>
        <w:trPr>
          <w:trHeight w:val="576" w:hRule="atLeast"/>
          <w:jc w:val="center"/>
        </w:trPr>
        <w:tc>
          <w:tcPr>
            <w:tcW w:w="328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合    计</w:t>
            </w:r>
          </w:p>
        </w:tc>
        <w:tc>
          <w:tcPr>
            <w:tcW w:w="264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p>
        </w:tc>
        <w:tc>
          <w:tcPr>
            <w:tcW w:w="2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80" w:lineRule="exact"/>
              <w:jc w:val="left"/>
              <w:rPr>
                <w:rFonts w:hint="eastAsia" w:ascii="仿宋_GB2312" w:hAnsi="宋体" w:cs="宋体"/>
                <w:kern w:val="0"/>
                <w:sz w:val="20"/>
                <w:szCs w:val="20"/>
              </w:rPr>
            </w:pPr>
          </w:p>
        </w:tc>
        <w:tc>
          <w:tcPr>
            <w:tcW w:w="6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97分</w:t>
            </w:r>
          </w:p>
        </w:tc>
      </w:tr>
    </w:tbl>
    <w:p/>
    <w:sectPr>
      <w:pgSz w:w="11906" w:h="16838"/>
      <w:pgMar w:top="1270" w:right="1800" w:bottom="1100" w:left="1800" w:header="851" w:footer="992" w:gutter="0"/>
      <w:pgBorders>
        <w:top w:val="none" w:sz="0" w:space="0"/>
        <w:left w:val="none" w:sz="0" w:space="0"/>
        <w:bottom w:val="none" w:sz="0" w:space="0"/>
        <w:right w:val="none" w:sz="0" w:space="0"/>
      </w:pgBorders>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- 12 -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18</w:t>
    </w:r>
    <w:r>
      <w:rPr>
        <w:sz w:val="28"/>
        <w:szCs w:val="28"/>
      </w:rPr>
      <w:fldChar w:fldCharType="end"/>
    </w:r>
    <w:r>
      <w:rPr>
        <w:rStyle w:val="6"/>
        <w:rFonts w:hint="eastAsia"/>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0D31"/>
    <w:rsid w:val="101B5B61"/>
    <w:rsid w:val="13163B03"/>
    <w:rsid w:val="14940D31"/>
    <w:rsid w:val="1BFA641B"/>
    <w:rsid w:val="2A996D57"/>
    <w:rsid w:val="2AA65F9F"/>
    <w:rsid w:val="2E3C213A"/>
    <w:rsid w:val="2ED658AC"/>
    <w:rsid w:val="30311863"/>
    <w:rsid w:val="32800F79"/>
    <w:rsid w:val="33967BEB"/>
    <w:rsid w:val="37A71132"/>
    <w:rsid w:val="37C2797D"/>
    <w:rsid w:val="3E29113A"/>
    <w:rsid w:val="3F2225CE"/>
    <w:rsid w:val="402A3232"/>
    <w:rsid w:val="47132617"/>
    <w:rsid w:val="49BD1219"/>
    <w:rsid w:val="605622B5"/>
    <w:rsid w:val="619B5A87"/>
    <w:rsid w:val="622E503E"/>
    <w:rsid w:val="68EC5913"/>
    <w:rsid w:val="6D535020"/>
    <w:rsid w:val="6D906D38"/>
    <w:rsid w:val="6E9D3FD6"/>
    <w:rsid w:val="705E624B"/>
    <w:rsid w:val="7536394B"/>
    <w:rsid w:val="775B6631"/>
    <w:rsid w:val="775C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2018-10-18T05:40:00Z</dcterms:created>
  <dc:creator>孙德英 192.168.200.33</dc:creator>
  <cp:lastModifiedBy>心有芊芊结</cp:lastModifiedBy>
  <cp:lastPrinted>2019-07-17T03:30:06Z</cp:lastPrinted>
  <dcterms:modified xsi:type="dcterms:W3CDTF">2019-07-17T03:30:46Z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