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2019年度部门整体支出绩效评价指标评分表</w:t>
      </w:r>
    </w:p>
    <w:p>
      <w:pPr>
        <w:spacing w:line="560" w:lineRule="exact"/>
        <w:jc w:val="left"/>
        <w:rPr>
          <w:rFonts w:ascii="仿宋_GB2312" w:hAnsi="仿宋_GB2312" w:eastAsia="仿宋_GB2312" w:cs="仿宋_GB2312"/>
          <w:kern w:val="0"/>
          <w:szCs w:val="21"/>
        </w:rPr>
      </w:pPr>
    </w:p>
    <w:tbl>
      <w:tblPr>
        <w:tblStyle w:val="3"/>
        <w:tblW w:w="0" w:type="auto"/>
        <w:jc w:val="center"/>
        <w:tblLayout w:type="fixed"/>
        <w:tblCellMar>
          <w:top w:w="0" w:type="dxa"/>
          <w:left w:w="108" w:type="dxa"/>
          <w:bottom w:w="0" w:type="dxa"/>
          <w:right w:w="108" w:type="dxa"/>
        </w:tblCellMar>
      </w:tblPr>
      <w:tblGrid>
        <w:gridCol w:w="488"/>
        <w:gridCol w:w="542"/>
        <w:gridCol w:w="700"/>
        <w:gridCol w:w="613"/>
        <w:gridCol w:w="913"/>
        <w:gridCol w:w="602"/>
        <w:gridCol w:w="2818"/>
        <w:gridCol w:w="2693"/>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评价标准</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5</w:t>
            </w:r>
          </w:p>
        </w:tc>
        <w:tc>
          <w:tcPr>
            <w:tcW w:w="2818" w:type="dxa"/>
            <w:tcBorders>
              <w:top w:val="nil"/>
              <w:left w:val="nil"/>
              <w:bottom w:val="nil"/>
              <w:right w:val="nil"/>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69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在职人员控制率=（在职人员数/编制数）×100%，在职人员数：部门（单位）实际在职人数，以财政局确定的部门决算编制口径为准。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vAlign w:val="center"/>
          </w:tcPr>
          <w:p>
            <w:pPr>
              <w:widowControl/>
              <w:spacing w:line="260" w:lineRule="exact"/>
              <w:ind w:firstLine="200" w:firstLineChars="100"/>
              <w:jc w:val="left"/>
              <w:rPr>
                <w:rFonts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8</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“三公经费”变动率≦0,计8分；“三公经费”＞0，每超过一个百分点扣0.8分，扣完为止。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100%计满分，每低于5%扣2分，扣完为止。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3</w:t>
            </w:r>
          </w:p>
        </w:tc>
      </w:tr>
      <w:tr>
        <w:tblPrEx>
          <w:tblCellMar>
            <w:top w:w="0" w:type="dxa"/>
            <w:left w:w="108" w:type="dxa"/>
            <w:bottom w:w="0" w:type="dxa"/>
            <w:right w:w="108" w:type="dxa"/>
          </w:tblCellMar>
        </w:tblPrEx>
        <w:trPr>
          <w:trHeight w:val="119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3</w:t>
            </w:r>
          </w:p>
        </w:tc>
      </w:tr>
      <w:tr>
        <w:tblPrEx>
          <w:tblCellMar>
            <w:top w:w="0" w:type="dxa"/>
            <w:left w:w="108" w:type="dxa"/>
            <w:bottom w:w="0" w:type="dxa"/>
            <w:right w:w="108" w:type="dxa"/>
          </w:tblCellMar>
        </w:tblPrEx>
        <w:trPr>
          <w:trHeight w:val="146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新建楼堂馆所面积控制率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该指标以2019年完工的新建楼堂馆所为评价内容。</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ascii="仿宋_GB2312" w:hAnsi="宋体" w:cs="宋体"/>
                <w:kern w:val="0"/>
                <w:sz w:val="20"/>
                <w:szCs w:val="20"/>
              </w:rPr>
            </w:pPr>
          </w:p>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cs="宋体"/>
                <w:kern w:val="0"/>
                <w:sz w:val="20"/>
                <w:szCs w:val="20"/>
              </w:rPr>
              <w:t>8</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6</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6</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预决算和“三公经费”信息公开性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5</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8</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根据县综合考评办2019年对各部门为民办实事和部门重点工程与重点工作考核分数折算。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该项得分=（县综合考评办对应部分考核得分/100）*8</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ind w:firstLine="200" w:firstLineChars="100"/>
              <w:jc w:val="left"/>
              <w:rPr>
                <w:rFonts w:ascii="仿宋_GB2312" w:hAnsi="宋体" w:cs="宋体"/>
                <w:kern w:val="0"/>
                <w:sz w:val="20"/>
                <w:szCs w:val="20"/>
              </w:rPr>
            </w:pPr>
            <w:r>
              <w:rPr>
                <w:rFonts w:hint="eastAsia" w:ascii="仿宋_GB2312" w:hAnsi="宋体" w:cs="宋体"/>
                <w:kern w:val="0"/>
                <w:sz w:val="20"/>
                <w:szCs w:val="20"/>
              </w:rPr>
              <w:t>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vAlign w:val="center"/>
          </w:tcPr>
          <w:p>
            <w:pPr>
              <w:widowControl/>
              <w:spacing w:line="260" w:lineRule="exact"/>
              <w:ind w:firstLine="200" w:firstLineChars="100"/>
              <w:jc w:val="left"/>
              <w:rPr>
                <w:rFonts w:ascii="仿宋_GB2312" w:hAnsi="宋体" w:cs="宋体"/>
                <w:kern w:val="0"/>
                <w:sz w:val="20"/>
                <w:szCs w:val="20"/>
              </w:rPr>
            </w:pPr>
            <w:r>
              <w:rPr>
                <w:rFonts w:hint="eastAsia" w:ascii="仿宋_GB2312" w:hAnsi="宋体" w:cs="宋体"/>
                <w:kern w:val="0"/>
                <w:sz w:val="20"/>
                <w:szCs w:val="20"/>
              </w:rPr>
              <w:t>6</w:t>
            </w:r>
          </w:p>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vAlign w:val="center"/>
          </w:tcPr>
          <w:p>
            <w:pPr>
              <w:widowControl/>
              <w:spacing w:line="260" w:lineRule="exact"/>
              <w:jc w:val="center"/>
              <w:rPr>
                <w:rFonts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vAlign w:val="center"/>
          </w:tcPr>
          <w:p>
            <w:pPr>
              <w:widowControl/>
              <w:spacing w:line="260" w:lineRule="exact"/>
              <w:jc w:val="left"/>
              <w:rPr>
                <w:rFonts w:ascii="仿宋_GB2312" w:hAnsi="宋体" w:cs="宋体"/>
                <w:kern w:val="0"/>
                <w:sz w:val="20"/>
                <w:szCs w:val="20"/>
              </w:rPr>
            </w:pPr>
          </w:p>
        </w:tc>
        <w:tc>
          <w:tcPr>
            <w:tcW w:w="567" w:type="dxa"/>
            <w:vMerge w:val="continue"/>
            <w:tcBorders>
              <w:left w:val="nil"/>
              <w:bottom w:val="nil"/>
              <w:right w:val="single" w:color="auto" w:sz="4" w:space="0"/>
            </w:tcBorders>
            <w:vAlign w:val="center"/>
          </w:tcPr>
          <w:p>
            <w:pPr>
              <w:widowControl/>
              <w:spacing w:line="260" w:lineRule="exact"/>
              <w:jc w:val="left"/>
              <w:rPr>
                <w:rFonts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6</w:t>
            </w:r>
          </w:p>
        </w:tc>
        <w:tc>
          <w:tcPr>
            <w:tcW w:w="28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693"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6</w:t>
            </w:r>
          </w:p>
        </w:tc>
        <w:tc>
          <w:tcPr>
            <w:tcW w:w="2818"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693"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100</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96</w:t>
            </w:r>
          </w:p>
        </w:tc>
      </w:tr>
    </w:tbl>
    <w:p/>
    <w:p>
      <w:pPr>
        <w:ind w:firstLine="640" w:firstLineChars="200"/>
        <w:jc w:val="left"/>
        <w:rPr>
          <w:rFonts w:ascii="宋体" w:cs="黑体"/>
          <w:b/>
          <w:color w:val="000000"/>
          <w:kern w:val="0"/>
          <w:sz w:val="32"/>
          <w:szCs w:val="32"/>
        </w:rPr>
      </w:pPr>
    </w:p>
    <w:p>
      <w:bookmarkStart w:id="0" w:name="_GoBack"/>
      <w:bookmarkEnd w:id="0"/>
    </w:p>
    <w:sectPr>
      <w:headerReference r:id="rId3" w:type="default"/>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2E3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2020-11-02T03:11:39Z</dcterms:created>
  <dc:creator>Administrator</dc:creator>
  <cp:lastModifiedBy>王向辉18973527126</cp:lastModifiedBy>
  <dcterms:modified xsi:type="dcterms:W3CDTF">2020-11-02T03:11:47Z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