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2019年度部门整体支出绩效评价指标评分表</w:t>
      </w:r>
    </w:p>
    <w:p>
      <w:pPr>
        <w:spacing w:line="560" w:lineRule="exact"/>
        <w:jc w:val="left"/>
        <w:rPr>
          <w:rFonts w:hint="eastAsia" w:ascii="仿宋_GB2312" w:hAnsi="仿宋_GB2312" w:eastAsia="宋体" w:cs="仿宋_GB2312"/>
          <w:kern w:val="0"/>
          <w:szCs w:val="21"/>
          <w:lang w:eastAsia="zh-CN"/>
        </w:rPr>
      </w:pPr>
      <w:r>
        <w:rPr>
          <w:rFonts w:hint="eastAsia" w:ascii="仿宋_GB2312" w:hAnsi="仿宋_GB2312" w:cs="仿宋_GB2312"/>
          <w:kern w:val="0"/>
          <w:szCs w:val="21"/>
        </w:rPr>
        <w:t>填报单位（盖章）：</w:t>
      </w:r>
      <w:r>
        <w:rPr>
          <w:rFonts w:hint="eastAsia" w:ascii="仿宋_GB2312" w:hAnsi="仿宋_GB2312" w:cs="仿宋_GB2312"/>
          <w:kern w:val="0"/>
          <w:szCs w:val="21"/>
          <w:lang w:eastAsia="zh-CN"/>
        </w:rPr>
        <w:t>永兴县经济和科学技术综合执法大队</w:t>
      </w:r>
    </w:p>
    <w:tbl>
      <w:tblPr>
        <w:tblStyle w:val="4"/>
        <w:tblW w:w="9930" w:type="dxa"/>
        <w:jc w:val="center"/>
        <w:tblLayout w:type="fixed"/>
        <w:tblCellMar>
          <w:top w:w="0" w:type="dxa"/>
          <w:left w:w="108" w:type="dxa"/>
          <w:bottom w:w="0" w:type="dxa"/>
          <w:right w:w="108" w:type="dxa"/>
        </w:tblCellMar>
      </w:tblPr>
      <w:tblGrid>
        <w:gridCol w:w="487"/>
        <w:gridCol w:w="542"/>
        <w:gridCol w:w="700"/>
        <w:gridCol w:w="613"/>
        <w:gridCol w:w="912"/>
        <w:gridCol w:w="602"/>
        <w:gridCol w:w="3028"/>
        <w:gridCol w:w="2479"/>
        <w:gridCol w:w="567"/>
      </w:tblGrid>
      <w:tr>
        <w:tblPrEx>
          <w:tblCellMar>
            <w:top w:w="0" w:type="dxa"/>
            <w:left w:w="108" w:type="dxa"/>
            <w:bottom w:w="0" w:type="dxa"/>
            <w:right w:w="108" w:type="dxa"/>
          </w:tblCellMar>
        </w:tblPrEx>
        <w:trPr>
          <w:trHeight w:val="773" w:hRule="atLeast"/>
          <w:tblHeader/>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2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47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7" w:type="dxa"/>
            <w:vMerge w:val="restart"/>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28" w:type="dxa"/>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479" w:type="dxa"/>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在职人员控制率=（在职人员数/编制数）×100%，在职人员数：部门（单位）实际在职人数，以财政局确定的部门决算编制口径为准。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3</w:t>
            </w:r>
          </w:p>
        </w:tc>
      </w:tr>
      <w:tr>
        <w:tblPrEx>
          <w:tblCellMar>
            <w:top w:w="0" w:type="dxa"/>
            <w:left w:w="108" w:type="dxa"/>
            <w:bottom w:w="0" w:type="dxa"/>
            <w:right w:w="108" w:type="dxa"/>
          </w:tblCellMar>
        </w:tblPrEx>
        <w:trPr>
          <w:trHeight w:val="1382" w:hRule="atLeast"/>
          <w:jc w:val="center"/>
        </w:trPr>
        <w:tc>
          <w:tcPr>
            <w:tcW w:w="4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28"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“三公经费”变动率-7%以上,计8分；“三公经费”变动率</w:t>
            </w:r>
            <w:r>
              <w:rPr>
                <w:kern w:val="0"/>
                <w:sz w:val="20"/>
                <w:szCs w:val="20"/>
              </w:rPr>
              <w:t>&lt;</w:t>
            </w:r>
            <w:r>
              <w:rPr>
                <w:rFonts w:hint="eastAsia" w:ascii="仿宋_GB2312" w:hAnsi="宋体" w:cs="宋体"/>
                <w:kern w:val="0"/>
                <w:sz w:val="20"/>
                <w:szCs w:val="20"/>
              </w:rPr>
              <w:t>-7%，每超过一个百分点扣0.8分，扣完为止。</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8　</w:t>
            </w:r>
          </w:p>
        </w:tc>
      </w:tr>
      <w:tr>
        <w:tblPrEx>
          <w:tblCellMar>
            <w:top w:w="0" w:type="dxa"/>
            <w:left w:w="108" w:type="dxa"/>
            <w:bottom w:w="0" w:type="dxa"/>
            <w:right w:w="108" w:type="dxa"/>
          </w:tblCellMar>
        </w:tblPrEx>
        <w:trPr>
          <w:trHeight w:val="1136" w:hRule="atLeast"/>
          <w:jc w:val="center"/>
        </w:trPr>
        <w:tc>
          <w:tcPr>
            <w:tcW w:w="487" w:type="dxa"/>
            <w:vMerge w:val="restart"/>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5</w:t>
            </w:r>
          </w:p>
        </w:tc>
      </w:tr>
      <w:tr>
        <w:tblPrEx>
          <w:tblCellMar>
            <w:top w:w="0" w:type="dxa"/>
            <w:left w:w="108" w:type="dxa"/>
            <w:bottom w:w="0" w:type="dxa"/>
            <w:right w:w="108" w:type="dxa"/>
          </w:tblCellMar>
        </w:tblPrEx>
        <w:trPr>
          <w:trHeight w:val="995" w:hRule="atLeast"/>
          <w:jc w:val="center"/>
        </w:trPr>
        <w:tc>
          <w:tcPr>
            <w:tcW w:w="4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1164" w:hRule="atLeast"/>
          <w:jc w:val="center"/>
        </w:trPr>
        <w:tc>
          <w:tcPr>
            <w:tcW w:w="4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12" w:type="dxa"/>
            <w:tcBorders>
              <w:top w:val="nil"/>
              <w:left w:val="nil"/>
              <w:bottom w:val="single" w:color="auto" w:sz="4" w:space="0"/>
              <w:right w:val="single" w:color="auto" w:sz="4" w:space="0"/>
            </w:tcBorders>
            <w:vAlign w:val="center"/>
          </w:tcPr>
          <w:p>
            <w:pPr>
              <w:jc w:val="center"/>
              <w:rPr>
                <w:rFonts w:hint="eastAsia" w:ascii="仿宋_GB2312" w:hAnsi="宋体" w:cs="宋体"/>
                <w:kern w:val="0"/>
                <w:sz w:val="20"/>
                <w:szCs w:val="20"/>
              </w:rPr>
            </w:pPr>
            <w:r>
              <w:rPr>
                <w:rFonts w:hint="eastAsia"/>
                <w:sz w:val="18"/>
                <w:szCs w:val="18"/>
              </w:rPr>
              <w:t>结转结余变动率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28" w:type="dxa"/>
            <w:tcBorders>
              <w:top w:val="nil"/>
              <w:left w:val="nil"/>
              <w:bottom w:val="single" w:color="auto" w:sz="4" w:space="0"/>
              <w:right w:val="single" w:color="auto" w:sz="4" w:space="0"/>
            </w:tcBorders>
            <w:vAlign w:val="center"/>
          </w:tcPr>
          <w:p>
            <w:pPr>
              <w:rPr>
                <w:rFonts w:hint="eastAsia" w:ascii="仿宋_GB2312" w:hAnsi="宋体" w:cs="宋体"/>
                <w:kern w:val="0"/>
                <w:sz w:val="20"/>
                <w:szCs w:val="20"/>
              </w:rPr>
            </w:pPr>
            <w:r>
              <w:rPr>
                <w:rFonts w:hint="eastAsia"/>
                <w:sz w:val="18"/>
                <w:szCs w:val="18"/>
              </w:rPr>
              <w:t>结转结余</w:t>
            </w:r>
            <w:r>
              <w:rPr>
                <w:rFonts w:hint="eastAsia" w:ascii="仿宋_GB2312" w:hAnsi="宋体" w:cs="宋体"/>
                <w:kern w:val="0"/>
                <w:sz w:val="20"/>
                <w:szCs w:val="20"/>
              </w:rPr>
              <w:t>变动率≦0,计5分；</w:t>
            </w:r>
            <w:r>
              <w:rPr>
                <w:rFonts w:hint="eastAsia"/>
                <w:sz w:val="18"/>
                <w:szCs w:val="18"/>
              </w:rPr>
              <w:t>结转结余</w:t>
            </w:r>
            <w:r>
              <w:rPr>
                <w:rFonts w:hint="eastAsia" w:ascii="仿宋_GB2312" w:hAnsi="宋体" w:cs="宋体"/>
                <w:kern w:val="0"/>
                <w:sz w:val="20"/>
                <w:szCs w:val="20"/>
              </w:rPr>
              <w:t>变动率＞0，每超过一个百分点扣0.5分，扣完为止。</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sz w:val="18"/>
                <w:szCs w:val="18"/>
              </w:rPr>
              <w:t>结转结余变动率</w:t>
            </w:r>
            <w:r>
              <w:rPr>
                <w:sz w:val="18"/>
                <w:szCs w:val="18"/>
              </w:rPr>
              <w:t>=[</w:t>
            </w:r>
            <w:r>
              <w:rPr>
                <w:rFonts w:hint="eastAsia"/>
                <w:sz w:val="18"/>
                <w:szCs w:val="18"/>
              </w:rPr>
              <w:t>（本年度累计结转结余资金总额</w:t>
            </w:r>
            <w:r>
              <w:rPr>
                <w:sz w:val="18"/>
                <w:szCs w:val="18"/>
              </w:rPr>
              <w:t>-</w:t>
            </w:r>
            <w:r>
              <w:rPr>
                <w:rFonts w:hint="eastAsia"/>
                <w:sz w:val="18"/>
                <w:szCs w:val="18"/>
              </w:rPr>
              <w:t>上年度累计结转结余资金总额）</w:t>
            </w:r>
            <w:r>
              <w:rPr>
                <w:sz w:val="18"/>
                <w:szCs w:val="18"/>
              </w:rPr>
              <w:t>/</w:t>
            </w:r>
            <w:r>
              <w:rPr>
                <w:rFonts w:hint="eastAsia"/>
                <w:sz w:val="18"/>
                <w:szCs w:val="18"/>
              </w:rPr>
              <w:t>上年度累计结转结余资金总额</w:t>
            </w:r>
            <w:r>
              <w:rPr>
                <w:sz w:val="18"/>
                <w:szCs w:val="18"/>
              </w:rPr>
              <w:t>]×100%</w:t>
            </w:r>
            <w:r>
              <w:rPr>
                <w:rFonts w:hint="eastAsia"/>
                <w:sz w:val="18"/>
                <w:szCs w:val="18"/>
              </w:rPr>
              <w:t>。</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5</w:t>
            </w:r>
          </w:p>
        </w:tc>
      </w:tr>
      <w:tr>
        <w:tblPrEx>
          <w:tblCellMar>
            <w:top w:w="0" w:type="dxa"/>
            <w:left w:w="108" w:type="dxa"/>
            <w:bottom w:w="0" w:type="dxa"/>
            <w:right w:w="108" w:type="dxa"/>
          </w:tblCellMar>
        </w:tblPrEx>
        <w:trPr>
          <w:trHeight w:val="1284" w:hRule="atLeast"/>
          <w:jc w:val="center"/>
        </w:trPr>
        <w:tc>
          <w:tcPr>
            <w:tcW w:w="4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新建楼堂馆所面积控制率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该指标以2019年完工的新建楼堂馆所为评价内容。</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5　</w:t>
            </w:r>
          </w:p>
        </w:tc>
      </w:tr>
      <w:tr>
        <w:tblPrEx>
          <w:tblCellMar>
            <w:top w:w="0" w:type="dxa"/>
            <w:left w:w="108" w:type="dxa"/>
            <w:bottom w:w="0" w:type="dxa"/>
            <w:right w:w="108" w:type="dxa"/>
          </w:tblCellMar>
        </w:tblPrEx>
        <w:trPr>
          <w:trHeight w:val="1549" w:hRule="atLeast"/>
          <w:jc w:val="center"/>
        </w:trPr>
        <w:tc>
          <w:tcPr>
            <w:tcW w:w="4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p>
          <w:p>
            <w:pPr>
              <w:widowControl/>
              <w:spacing w:line="260" w:lineRule="exact"/>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930" w:hRule="atLeast"/>
          <w:jc w:val="center"/>
        </w:trPr>
        <w:tc>
          <w:tcPr>
            <w:tcW w:w="4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8　</w:t>
            </w:r>
          </w:p>
        </w:tc>
      </w:tr>
      <w:tr>
        <w:tblPrEx>
          <w:tblCellMar>
            <w:top w:w="0" w:type="dxa"/>
            <w:left w:w="108" w:type="dxa"/>
            <w:bottom w:w="0" w:type="dxa"/>
            <w:right w:w="108" w:type="dxa"/>
          </w:tblCellMar>
        </w:tblPrEx>
        <w:trPr>
          <w:trHeight w:val="753" w:hRule="atLeast"/>
          <w:jc w:val="center"/>
        </w:trPr>
        <w:tc>
          <w:tcPr>
            <w:tcW w:w="4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jc w:val="center"/>
        </w:trPr>
        <w:tc>
          <w:tcPr>
            <w:tcW w:w="4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　</w:t>
            </w:r>
          </w:p>
        </w:tc>
      </w:tr>
      <w:tr>
        <w:tblPrEx>
          <w:tblCellMar>
            <w:top w:w="0" w:type="dxa"/>
            <w:left w:w="108" w:type="dxa"/>
            <w:bottom w:w="0" w:type="dxa"/>
            <w:right w:w="108" w:type="dxa"/>
          </w:tblCellMar>
        </w:tblPrEx>
        <w:trPr>
          <w:jc w:val="center"/>
        </w:trPr>
        <w:tc>
          <w:tcPr>
            <w:tcW w:w="4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预决算和“三公经费”信息公开性</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jc w:val="center"/>
        </w:trPr>
        <w:tc>
          <w:tcPr>
            <w:tcW w:w="487" w:type="dxa"/>
            <w:vMerge w:val="restart"/>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根据县综合考评办2019年对各部门为民办实事和部门重点工程与重点工作考核分数折算。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该项得分=（县综合考评办对应部分考核得分/100）*8</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357" w:hRule="atLeast"/>
          <w:jc w:val="center"/>
        </w:trPr>
        <w:tc>
          <w:tcPr>
            <w:tcW w:w="4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restart"/>
            <w:tcBorders>
              <w:top w:val="nil"/>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507"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bottom w:val="nil"/>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0"/>
                <w:szCs w:val="20"/>
              </w:rPr>
            </w:pPr>
          </w:p>
        </w:tc>
        <w:tc>
          <w:tcPr>
            <w:tcW w:w="5507"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kern w:val="0"/>
                <w:sz w:val="20"/>
                <w:szCs w:val="20"/>
              </w:rPr>
            </w:pPr>
          </w:p>
        </w:tc>
        <w:tc>
          <w:tcPr>
            <w:tcW w:w="567" w:type="dxa"/>
            <w:vMerge w:val="continue"/>
            <w:tcBorders>
              <w:top w:val="nil"/>
              <w:left w:val="nil"/>
              <w:bottom w:val="nil"/>
              <w:right w:val="single" w:color="auto" w:sz="4" w:space="0"/>
            </w:tcBorders>
            <w:vAlign w:val="center"/>
          </w:tcPr>
          <w:p>
            <w:pPr>
              <w:widowControl/>
              <w:jc w:val="left"/>
              <w:rPr>
                <w:rFonts w:ascii="仿宋_GB2312" w:hAnsi="宋体" w:eastAsia="仿宋_GB2312" w:cs="宋体"/>
                <w:kern w:val="0"/>
                <w:sz w:val="20"/>
                <w:szCs w:val="20"/>
              </w:rPr>
            </w:pPr>
          </w:p>
        </w:tc>
      </w:tr>
      <w:tr>
        <w:tblPrEx>
          <w:tblCellMar>
            <w:top w:w="0" w:type="dxa"/>
            <w:left w:w="108" w:type="dxa"/>
            <w:bottom w:w="0" w:type="dxa"/>
            <w:right w:w="108" w:type="dxa"/>
          </w:tblCellMar>
        </w:tblPrEx>
        <w:trPr>
          <w:jc w:val="center"/>
        </w:trPr>
        <w:tc>
          <w:tcPr>
            <w:tcW w:w="4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613"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28"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479"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　</w:t>
            </w:r>
          </w:p>
        </w:tc>
      </w:tr>
      <w:tr>
        <w:tblPrEx>
          <w:tblCellMar>
            <w:top w:w="0" w:type="dxa"/>
            <w:left w:w="108" w:type="dxa"/>
            <w:bottom w:w="0" w:type="dxa"/>
            <w:right w:w="108" w:type="dxa"/>
          </w:tblCellMar>
        </w:tblPrEx>
        <w:trPr>
          <w:jc w:val="center"/>
        </w:trPr>
        <w:tc>
          <w:tcPr>
            <w:tcW w:w="48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91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28"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479"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　</w:t>
            </w:r>
          </w:p>
        </w:tc>
      </w:tr>
      <w:tr>
        <w:tblPrEx>
          <w:tblCellMar>
            <w:top w:w="0" w:type="dxa"/>
            <w:left w:w="108" w:type="dxa"/>
            <w:bottom w:w="0" w:type="dxa"/>
            <w:right w:w="108" w:type="dxa"/>
          </w:tblCellMar>
        </w:tblPrEx>
        <w:trPr>
          <w:trHeight w:val="582" w:hRule="atLeast"/>
          <w:jc w:val="center"/>
        </w:trPr>
        <w:tc>
          <w:tcPr>
            <w:tcW w:w="1729"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w:t>
            </w:r>
          </w:p>
        </w:tc>
        <w:tc>
          <w:tcPr>
            <w:tcW w:w="9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100</w:t>
            </w:r>
          </w:p>
        </w:tc>
        <w:tc>
          <w:tcPr>
            <w:tcW w:w="30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247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98</w:t>
            </w:r>
          </w:p>
        </w:tc>
      </w:tr>
    </w:tbl>
    <w:p>
      <w:pPr>
        <w:jc w:val="left"/>
        <w:rPr>
          <w:rFonts w:hint="eastAsia" w:ascii="宋体" w:cs="黑体"/>
          <w:b/>
          <w:color w:val="000000"/>
          <w:kern w:val="0"/>
          <w:sz w:val="32"/>
          <w:szCs w:val="32"/>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70409"/>
    <w:rsid w:val="38F70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2020-11-06T08:34:00Z</dcterms:created>
  <dc:creator>曹广辉</dc:creator>
  <cp:lastModifiedBy>曹广辉</cp:lastModifiedBy>
  <dcterms:modified xsi:type="dcterms:W3CDTF">2020-11-06T08:34:47Z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