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20"/>
        </w:tabs>
        <w:spacing w:line="360" w:lineRule="exact"/>
        <w:ind w:right="641" w:firstLine="210" w:firstLineChars="100"/>
        <w:rPr>
          <w:rFonts w:eastAsia="黑体"/>
          <w:szCs w:val="32"/>
        </w:rPr>
      </w:pPr>
      <w:r>
        <w:rPr>
          <w:rFonts w:eastAsia="黑体"/>
          <w:szCs w:val="32"/>
        </w:rPr>
        <w:t>附件</w:t>
      </w:r>
      <w:r>
        <w:rPr>
          <w:rFonts w:hint="eastAsia" w:eastAsia="黑体"/>
          <w:szCs w:val="32"/>
        </w:rPr>
        <w:t>1</w:t>
      </w:r>
    </w:p>
    <w:p>
      <w:pPr>
        <w:spacing w:line="560" w:lineRule="exact"/>
        <w:jc w:val="center"/>
        <w:rPr>
          <w:rFonts w:ascii="宋体" w:hAnsi="宋体" w:cs="宋体"/>
          <w:kern w:val="0"/>
          <w:sz w:val="24"/>
        </w:rPr>
      </w:pPr>
      <w:r>
        <w:rPr>
          <w:rFonts w:hint="eastAsia" w:ascii="方正小标宋_GBK" w:hAnsi="宋体" w:eastAsia="方正小标宋_GBK" w:cs="宋体"/>
          <w:kern w:val="0"/>
          <w:sz w:val="36"/>
          <w:szCs w:val="36"/>
        </w:rPr>
        <w:t>2019年部门整体支出绩效评价指标评分表</w:t>
      </w:r>
    </w:p>
    <w:tbl>
      <w:tblPr>
        <w:tblStyle w:val="4"/>
        <w:tblW w:w="0" w:type="auto"/>
        <w:jc w:val="center"/>
        <w:tblLayout w:type="fixed"/>
        <w:tblCellMar>
          <w:top w:w="0" w:type="dxa"/>
          <w:left w:w="108" w:type="dxa"/>
          <w:bottom w:w="0" w:type="dxa"/>
          <w:right w:w="108" w:type="dxa"/>
        </w:tblCellMar>
      </w:tblPr>
      <w:tblGrid>
        <w:gridCol w:w="488"/>
        <w:gridCol w:w="542"/>
        <w:gridCol w:w="700"/>
        <w:gridCol w:w="591"/>
        <w:gridCol w:w="935"/>
        <w:gridCol w:w="476"/>
        <w:gridCol w:w="2944"/>
        <w:gridCol w:w="2977"/>
        <w:gridCol w:w="634"/>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二级指标</w:t>
            </w:r>
          </w:p>
        </w:tc>
        <w:tc>
          <w:tcPr>
            <w:tcW w:w="59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93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三级</w:t>
            </w:r>
          </w:p>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指标</w:t>
            </w:r>
          </w:p>
        </w:tc>
        <w:tc>
          <w:tcPr>
            <w:tcW w:w="47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294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评价标准</w:t>
            </w:r>
          </w:p>
        </w:tc>
        <w:tc>
          <w:tcPr>
            <w:tcW w:w="297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指标说明</w:t>
            </w:r>
          </w:p>
        </w:tc>
        <w:tc>
          <w:tcPr>
            <w:tcW w:w="6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1814" w:hRule="atLeast"/>
          <w:jc w:val="center"/>
        </w:trPr>
        <w:tc>
          <w:tcPr>
            <w:tcW w:w="48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预算配置</w:t>
            </w:r>
          </w:p>
        </w:tc>
        <w:tc>
          <w:tcPr>
            <w:tcW w:w="59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13</w:t>
            </w:r>
          </w:p>
        </w:tc>
        <w:tc>
          <w:tcPr>
            <w:tcW w:w="93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在职人员控制率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nil"/>
              <w:right w:val="nil"/>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977"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在职人员控制率=（在职人员数/编制数）×100%，在职人员数：部门（单位）实际在职人数，以财政厅确定的部门决算编制口径为准。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93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“三公经费”变动率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8</w:t>
            </w:r>
          </w:p>
        </w:tc>
        <w:tc>
          <w:tcPr>
            <w:tcW w:w="2944"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“三公经费”变动率≦0,计8分；“三公经费”＞0，每超过一个百分点扣0.8分，扣完为止。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预算执行</w:t>
            </w:r>
          </w:p>
        </w:tc>
        <w:tc>
          <w:tcPr>
            <w:tcW w:w="59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20</w:t>
            </w:r>
          </w:p>
        </w:tc>
        <w:tc>
          <w:tcPr>
            <w:tcW w:w="93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预算完成率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100%计满分，每低于5%扣2分，扣完为止。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634"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trHeight w:val="973"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93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预算控制率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634"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cs="宋体"/>
                <w:kern w:val="0"/>
                <w:sz w:val="20"/>
                <w:szCs w:val="20"/>
              </w:rPr>
            </w:pPr>
            <w:r>
              <w:rPr>
                <w:rFonts w:hint="eastAsia" w:ascii="仿宋_GB2312" w:hAnsi="宋体" w:cs="宋体"/>
                <w:kern w:val="0"/>
                <w:sz w:val="20"/>
                <w:szCs w:val="20"/>
              </w:rPr>
              <w:t>5</w:t>
            </w:r>
          </w:p>
        </w:tc>
      </w:tr>
      <w:tr>
        <w:tblPrEx>
          <w:tblCellMar>
            <w:top w:w="0" w:type="dxa"/>
            <w:left w:w="108" w:type="dxa"/>
            <w:bottom w:w="0" w:type="dxa"/>
            <w:right w:w="108" w:type="dxa"/>
          </w:tblCellMar>
        </w:tblPrEx>
        <w:trPr>
          <w:trHeight w:val="122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93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新建楼堂馆所面积控制率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该指标以2018年完工的新建楼堂馆所为评价内容。</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46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93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新建楼堂馆所投资概算控制率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100%以下（含）计满分，每超出5%扣2分，扣完为止。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楼堂馆所投资预算控制率=实际投资金额/批准投资金额×100%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该指标以2018年完工的新建楼堂馆所为评价内容。</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trHeight w:val="1399"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预算管理</w:t>
            </w:r>
          </w:p>
        </w:tc>
        <w:tc>
          <w:tcPr>
            <w:tcW w:w="59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41</w:t>
            </w:r>
          </w:p>
        </w:tc>
        <w:tc>
          <w:tcPr>
            <w:tcW w:w="93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公用经费控制率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20"/>
                <w:szCs w:val="20"/>
              </w:rPr>
              <w:t>公用经费支出是指部门基本支出中的一般商品和服务支出。</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9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93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“三公经费”控制率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93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政府采购执行率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预算管理</w:t>
            </w:r>
          </w:p>
        </w:tc>
        <w:tc>
          <w:tcPr>
            <w:tcW w:w="5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93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管理制度健全性</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935"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资金使用合规性</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935"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预决算和“三公经费”信息公开性</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职责履行</w:t>
            </w:r>
          </w:p>
        </w:tc>
        <w:tc>
          <w:tcPr>
            <w:tcW w:w="591"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8</w:t>
            </w:r>
          </w:p>
        </w:tc>
        <w:tc>
          <w:tcPr>
            <w:tcW w:w="935"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重点工作实际完成率</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根据绩效办2018年对各部门为民办实事和部门重点工程与重点工作考核分数折算。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该项得分=（绩效办对应部分考核得分/350）*8</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履职 效益</w:t>
            </w:r>
          </w:p>
        </w:tc>
        <w:tc>
          <w:tcPr>
            <w:tcW w:w="591"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w:t>
            </w:r>
          </w:p>
        </w:tc>
        <w:tc>
          <w:tcPr>
            <w:tcW w:w="935"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18"/>
                <w:szCs w:val="18"/>
              </w:rPr>
              <w:t>经济效益</w:t>
            </w:r>
          </w:p>
        </w:tc>
        <w:tc>
          <w:tcPr>
            <w:tcW w:w="476" w:type="dxa"/>
            <w:vMerge w:val="restart"/>
            <w:tcBorders>
              <w:top w:val="nil"/>
              <w:left w:val="single" w:color="auto" w:sz="4" w:space="0"/>
              <w:bottom w:val="nil"/>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w:t>
            </w:r>
          </w:p>
        </w:tc>
        <w:tc>
          <w:tcPr>
            <w:tcW w:w="5921" w:type="dxa"/>
            <w:gridSpan w:val="2"/>
            <w:vMerge w:val="restart"/>
            <w:tcBorders>
              <w:top w:val="single" w:color="auto" w:sz="4" w:space="0"/>
              <w:left w:val="single" w:color="auto" w:sz="4" w:space="0"/>
              <w:bottom w:val="nil"/>
              <w:right w:val="single" w:color="000000"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634" w:type="dxa"/>
            <w:vMerge w:val="restart"/>
            <w:tcBorders>
              <w:top w:val="nil"/>
              <w:left w:val="nil"/>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　</w:t>
            </w:r>
          </w:p>
          <w:p>
            <w:pPr>
              <w:widowControl/>
              <w:jc w:val="left"/>
              <w:rPr>
                <w:rFonts w:ascii="仿宋_GB2312" w:hAnsi="宋体" w:cs="宋体"/>
                <w:kern w:val="0"/>
                <w:sz w:val="20"/>
                <w:szCs w:val="20"/>
              </w:rPr>
            </w:pPr>
            <w:r>
              <w:rPr>
                <w:rFonts w:hint="eastAsia" w:ascii="仿宋_GB2312" w:hAnsi="宋体" w:cs="宋体"/>
                <w:kern w:val="0"/>
                <w:sz w:val="20"/>
                <w:szCs w:val="20"/>
              </w:rPr>
              <w:t>　5</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935"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18"/>
                <w:szCs w:val="18"/>
              </w:rPr>
              <w:t>社会效益</w:t>
            </w:r>
          </w:p>
        </w:tc>
        <w:tc>
          <w:tcPr>
            <w:tcW w:w="476" w:type="dxa"/>
            <w:vMerge w:val="continue"/>
            <w:tcBorders>
              <w:top w:val="nil"/>
              <w:left w:val="single" w:color="auto" w:sz="4" w:space="0"/>
              <w:bottom w:val="nil"/>
              <w:right w:val="single" w:color="auto" w:sz="4" w:space="0"/>
            </w:tcBorders>
            <w:vAlign w:val="center"/>
          </w:tcPr>
          <w:p>
            <w:pPr>
              <w:widowControl/>
              <w:jc w:val="left"/>
              <w:rPr>
                <w:rFonts w:ascii="仿宋_GB2312" w:hAnsi="宋体" w:cs="宋体"/>
                <w:kern w:val="0"/>
                <w:sz w:val="20"/>
                <w:szCs w:val="20"/>
              </w:rPr>
            </w:pPr>
          </w:p>
        </w:tc>
        <w:tc>
          <w:tcPr>
            <w:tcW w:w="5921" w:type="dxa"/>
            <w:gridSpan w:val="2"/>
            <w:vMerge w:val="continue"/>
            <w:tcBorders>
              <w:top w:val="single" w:color="auto" w:sz="4" w:space="0"/>
              <w:left w:val="single" w:color="auto" w:sz="4" w:space="0"/>
              <w:bottom w:val="nil"/>
              <w:right w:val="single" w:color="000000" w:sz="4" w:space="0"/>
            </w:tcBorders>
            <w:vAlign w:val="center"/>
          </w:tcPr>
          <w:p>
            <w:pPr>
              <w:widowControl/>
              <w:spacing w:line="280" w:lineRule="exact"/>
              <w:jc w:val="left"/>
              <w:rPr>
                <w:rFonts w:ascii="仿宋_GB2312" w:hAnsi="宋体" w:cs="宋体"/>
                <w:kern w:val="0"/>
                <w:sz w:val="20"/>
                <w:szCs w:val="20"/>
              </w:rPr>
            </w:pPr>
          </w:p>
        </w:tc>
        <w:tc>
          <w:tcPr>
            <w:tcW w:w="634" w:type="dxa"/>
            <w:vMerge w:val="continue"/>
            <w:tcBorders>
              <w:left w:val="nil"/>
              <w:bottom w:val="nil"/>
              <w:right w:val="single" w:color="auto" w:sz="4" w:space="0"/>
            </w:tcBorders>
            <w:vAlign w:val="center"/>
          </w:tcPr>
          <w:p>
            <w:pPr>
              <w:widowControl/>
              <w:jc w:val="left"/>
              <w:rPr>
                <w:rFonts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p>
        </w:tc>
        <w:tc>
          <w:tcPr>
            <w:tcW w:w="591"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12</w:t>
            </w:r>
          </w:p>
        </w:tc>
        <w:tc>
          <w:tcPr>
            <w:tcW w:w="935"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行政效能</w:t>
            </w:r>
          </w:p>
        </w:tc>
        <w:tc>
          <w:tcPr>
            <w:tcW w:w="476"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w:t>
            </w:r>
          </w:p>
        </w:tc>
        <w:tc>
          <w:tcPr>
            <w:tcW w:w="2944"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977"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根据部门自评材料评定。</w:t>
            </w:r>
          </w:p>
        </w:tc>
        <w:tc>
          <w:tcPr>
            <w:tcW w:w="634" w:type="dxa"/>
            <w:tcBorders>
              <w:top w:val="single" w:color="auto" w:sz="4" w:space="0"/>
              <w:left w:val="nil"/>
              <w:bottom w:val="single" w:color="auto" w:sz="4" w:space="0"/>
              <w:right w:val="single" w:color="auto" w:sz="4" w:space="0"/>
            </w:tcBorders>
            <w:vAlign w:val="center"/>
          </w:tcPr>
          <w:p>
            <w:pPr>
              <w:widowControl/>
              <w:ind w:firstLine="100" w:firstLineChars="50"/>
              <w:jc w:val="left"/>
              <w:rPr>
                <w:rFonts w:ascii="仿宋_GB2312" w:hAnsi="宋体" w:cs="宋体"/>
                <w:kern w:val="0"/>
                <w:sz w:val="20"/>
                <w:szCs w:val="20"/>
              </w:rPr>
            </w:pPr>
            <w:r>
              <w:rPr>
                <w:rFonts w:hint="eastAsia" w:ascii="仿宋_GB2312" w:hAnsi="宋体" w:cs="宋体"/>
                <w:kern w:val="0"/>
                <w:sz w:val="20"/>
                <w:szCs w:val="20"/>
              </w:rPr>
              <w:t>4</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59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935"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社会公众或服务对象满意度</w:t>
            </w:r>
          </w:p>
        </w:tc>
        <w:tc>
          <w:tcPr>
            <w:tcW w:w="476"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hint="eastAsia" w:ascii="仿宋_GB2312" w:hAnsi="宋体" w:cs="宋体"/>
                <w:kern w:val="0"/>
                <w:sz w:val="20"/>
                <w:szCs w:val="20"/>
              </w:rPr>
              <w:t>4</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kern w:val="0"/>
                <w:sz w:val="20"/>
                <w:szCs w:val="20"/>
              </w:rPr>
            </w:pPr>
            <w:r>
              <w:rPr>
                <w:rFonts w:hint="eastAsia" w:ascii="仿宋_GB2312" w:hAnsi="宋体" w:cs="宋体"/>
                <w:b/>
                <w:bCs/>
                <w:kern w:val="0"/>
                <w:sz w:val="20"/>
                <w:szCs w:val="20"/>
              </w:rPr>
              <w:t>合   计</w:t>
            </w:r>
          </w:p>
        </w:tc>
        <w:tc>
          <w:tcPr>
            <w:tcW w:w="59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29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kern w:val="0"/>
                <w:sz w:val="20"/>
                <w:szCs w:val="20"/>
              </w:rPr>
            </w:pPr>
          </w:p>
        </w:tc>
        <w:tc>
          <w:tcPr>
            <w:tcW w:w="6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kern w:val="0"/>
                <w:sz w:val="20"/>
                <w:szCs w:val="20"/>
              </w:rPr>
            </w:pPr>
            <w:r>
              <w:rPr>
                <w:rFonts w:hint="eastAsia" w:ascii="仿宋_GB2312" w:hAnsi="宋体" w:cs="宋体"/>
                <w:kern w:val="0"/>
                <w:sz w:val="20"/>
                <w:szCs w:val="20"/>
              </w:rPr>
              <w:t>95</w:t>
            </w:r>
          </w:p>
        </w:tc>
      </w:tr>
    </w:tbl>
    <w:p/>
    <w:p>
      <w:pPr>
        <w:ind w:firstLine="640" w:firstLineChars="200"/>
        <w:jc w:val="left"/>
        <w:rPr>
          <w:rFonts w:ascii="宋体" w:cs="黑体"/>
          <w:b/>
          <w:kern w:val="0"/>
          <w:sz w:val="32"/>
          <w:szCs w:val="32"/>
        </w:rPr>
      </w:pPr>
    </w:p>
    <w:p>
      <w:bookmarkStart w:id="0" w:name="_GoBack"/>
      <w:bookmarkEnd w:id="0"/>
    </w:p>
    <w:sectPr>
      <w:headerReference r:id="rId3" w:type="default"/>
      <w:footerReference r:id="rId4" w:type="default"/>
      <w:pgSz w:w="11906" w:h="16838"/>
      <w:pgMar w:top="1134" w:right="1588" w:bottom="1134"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40940"/>
      <w:docPartObj>
        <w:docPartGallery w:val="autotext"/>
      </w:docPartObj>
    </w:sdtPr>
    <w:sdtContent>
      <w:sdt>
        <w:sdtPr>
          <w:id w:val="98381352"/>
          <w:docPartObj>
            <w:docPartGallery w:val="autotext"/>
          </w:docPartObj>
        </w:sdtPr>
        <w:sdtContent>
          <w:p>
            <w:pPr>
              <w:pStyle w:val="2"/>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952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2020-11-06T09:44:54Z</dcterms:created>
  <dc:creator>Administrator</dc:creator>
  <cp:lastModifiedBy>王向辉18973527126</cp:lastModifiedBy>
  <dcterms:modified xsi:type="dcterms:W3CDTF">2020-11-06T09:45:03Z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