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val="en-US" w:eastAsia="zh-CN"/>
        </w:rPr>
      </w:pPr>
      <w:bookmarkStart w:id="0" w:name="_GoBack"/>
      <w:bookmarkEnd w:id="0"/>
    </w:p>
    <w:p>
      <w:pPr>
        <w:spacing w:line="560" w:lineRule="exact"/>
        <w:jc w:val="center"/>
        <w:rPr>
          <w:rFonts w:hint="eastAsia" w:ascii="方正小标宋_GBK" w:hAnsi="宋体" w:eastAsia="方正小标宋_GBK" w:cs="宋体"/>
          <w:kern w:val="0"/>
          <w:sz w:val="36"/>
          <w:szCs w:val="36"/>
        </w:rPr>
      </w:pPr>
      <w:r>
        <w:rPr>
          <w:rFonts w:hint="eastAsia" w:ascii="方正小标宋_GBK" w:hAnsi="宋体" w:eastAsia="方正小标宋_GBK" w:cs="宋体"/>
          <w:kern w:val="0"/>
          <w:sz w:val="36"/>
          <w:szCs w:val="36"/>
          <w:lang w:val="en-US" w:eastAsia="zh-CN"/>
        </w:rPr>
        <w:t>2019年度</w:t>
      </w:r>
      <w:r>
        <w:rPr>
          <w:rFonts w:hint="eastAsia" w:ascii="方正小标宋_GBK" w:hAnsi="宋体" w:eastAsia="方正小标宋_GBK" w:cs="宋体"/>
          <w:kern w:val="0"/>
          <w:sz w:val="36"/>
          <w:szCs w:val="36"/>
        </w:rPr>
        <w:t>部门整体支出绩效评价指标</w:t>
      </w:r>
      <w:r>
        <w:rPr>
          <w:rFonts w:hint="eastAsia" w:ascii="方正小标宋_GBK" w:hAnsi="宋体" w:eastAsia="方正小标宋_GBK" w:cs="宋体"/>
          <w:kern w:val="0"/>
          <w:sz w:val="36"/>
          <w:szCs w:val="36"/>
          <w:lang w:eastAsia="zh-CN"/>
        </w:rPr>
        <w:t>评分</w:t>
      </w:r>
      <w:r>
        <w:rPr>
          <w:rFonts w:hint="eastAsia" w:ascii="方正小标宋_GBK" w:hAnsi="宋体" w:eastAsia="方正小标宋_GBK" w:cs="宋体"/>
          <w:kern w:val="0"/>
          <w:sz w:val="36"/>
          <w:szCs w:val="36"/>
        </w:rPr>
        <w:t>表</w:t>
      </w:r>
    </w:p>
    <w:p>
      <w:pPr>
        <w:spacing w:line="560" w:lineRule="exact"/>
        <w:jc w:val="left"/>
        <w:rPr>
          <w:rFonts w:hint="eastAsia" w:ascii="仿宋_GB2312" w:hAnsi="仿宋_GB2312" w:eastAsia="仿宋_GB2312" w:cs="仿宋_GB2312"/>
          <w:b w:val="0"/>
          <w:bCs w:val="0"/>
          <w:kern w:val="0"/>
          <w:sz w:val="21"/>
          <w:szCs w:val="21"/>
          <w:lang w:eastAsia="zh-CN"/>
        </w:rPr>
      </w:pPr>
      <w:r>
        <w:rPr>
          <w:rFonts w:hint="eastAsia" w:ascii="仿宋_GB2312" w:hAnsi="仿宋_GB2312" w:eastAsia="仿宋_GB2312" w:cs="仿宋_GB2312"/>
          <w:b w:val="0"/>
          <w:bCs w:val="0"/>
          <w:kern w:val="0"/>
          <w:sz w:val="21"/>
          <w:szCs w:val="21"/>
          <w:lang w:eastAsia="zh-CN"/>
        </w:rPr>
        <w:t>填报单位（盖章）：</w:t>
      </w:r>
      <w:r>
        <w:rPr>
          <w:rFonts w:hint="eastAsia" w:ascii="仿宋_GB2312" w:hAnsi="仿宋_GB2312" w:cs="仿宋_GB2312"/>
          <w:b w:val="0"/>
          <w:bCs w:val="0"/>
          <w:kern w:val="0"/>
          <w:sz w:val="21"/>
          <w:szCs w:val="21"/>
          <w:lang w:eastAsia="zh-CN"/>
        </w:rPr>
        <w:t>永兴县自然资源局</w:t>
      </w:r>
    </w:p>
    <w:tbl>
      <w:tblPr>
        <w:tblStyle w:val="4"/>
        <w:tblW w:w="10078" w:type="dxa"/>
        <w:jc w:val="center"/>
        <w:tblLayout w:type="fixed"/>
        <w:tblCellMar>
          <w:top w:w="0" w:type="dxa"/>
          <w:left w:w="108" w:type="dxa"/>
          <w:bottom w:w="0" w:type="dxa"/>
          <w:right w:w="108" w:type="dxa"/>
        </w:tblCellMar>
      </w:tblPr>
      <w:tblGrid>
        <w:gridCol w:w="488"/>
        <w:gridCol w:w="542"/>
        <w:gridCol w:w="700"/>
        <w:gridCol w:w="613"/>
        <w:gridCol w:w="913"/>
        <w:gridCol w:w="602"/>
        <w:gridCol w:w="3030"/>
        <w:gridCol w:w="2717"/>
        <w:gridCol w:w="473"/>
      </w:tblGrid>
      <w:tr>
        <w:tblPrEx>
          <w:tblCellMar>
            <w:top w:w="0" w:type="dxa"/>
            <w:left w:w="108" w:type="dxa"/>
            <w:bottom w:w="0" w:type="dxa"/>
            <w:right w:w="108" w:type="dxa"/>
          </w:tblCellMar>
        </w:tblPrEx>
        <w:trPr>
          <w:trHeight w:val="90" w:hRule="atLeast"/>
          <w:tblHeader/>
          <w:jc w:val="center"/>
        </w:trPr>
        <w:tc>
          <w:tcPr>
            <w:tcW w:w="488"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18"/>
                <w:szCs w:val="18"/>
              </w:rPr>
              <w:t>一级指标</w:t>
            </w:r>
          </w:p>
        </w:tc>
        <w:tc>
          <w:tcPr>
            <w:tcW w:w="54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二级指标</w:t>
            </w:r>
          </w:p>
        </w:tc>
        <w:tc>
          <w:tcPr>
            <w:tcW w:w="6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三级</w:t>
            </w:r>
          </w:p>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分值</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评价标准</w:t>
            </w:r>
          </w:p>
        </w:tc>
        <w:tc>
          <w:tcPr>
            <w:tcW w:w="2717"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指标说明</w:t>
            </w:r>
          </w:p>
        </w:tc>
        <w:tc>
          <w:tcPr>
            <w:tcW w:w="4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b/>
                <w:kern w:val="0"/>
                <w:sz w:val="20"/>
                <w:szCs w:val="20"/>
              </w:rPr>
            </w:pPr>
            <w:r>
              <w:rPr>
                <w:rFonts w:hint="eastAsia" w:ascii="仿宋_GB2312" w:hAnsi="宋体" w:cs="宋体"/>
                <w:b/>
                <w:kern w:val="0"/>
                <w:sz w:val="20"/>
                <w:szCs w:val="20"/>
              </w:rPr>
              <w:t>得分</w:t>
            </w:r>
          </w:p>
        </w:tc>
      </w:tr>
      <w:tr>
        <w:tblPrEx>
          <w:tblCellMar>
            <w:top w:w="0" w:type="dxa"/>
            <w:left w:w="108" w:type="dxa"/>
            <w:bottom w:w="0" w:type="dxa"/>
            <w:right w:w="108" w:type="dxa"/>
          </w:tblCellMar>
        </w:tblPrEx>
        <w:trPr>
          <w:trHeight w:val="3065" w:hRule="atLeast"/>
          <w:jc w:val="center"/>
        </w:trPr>
        <w:tc>
          <w:tcPr>
            <w:tcW w:w="488"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投入</w:t>
            </w:r>
          </w:p>
        </w:tc>
        <w:tc>
          <w:tcPr>
            <w:tcW w:w="542"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13</w:t>
            </w:r>
          </w:p>
        </w:tc>
        <w:tc>
          <w:tcPr>
            <w:tcW w:w="700" w:type="dxa"/>
            <w:vMerge w:val="restart"/>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预算配置</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13</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在职人员控制率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nil"/>
              <w:right w:val="nil"/>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以100%为标准。在职人员控制率≦100%，计5分；每超过一个百分点扣0.5分，扣完为止。</w:t>
            </w:r>
          </w:p>
        </w:tc>
        <w:tc>
          <w:tcPr>
            <w:tcW w:w="2717" w:type="dxa"/>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在职人员控制率=（在职人员数/编制数）×100%，在职人员数：部门（单位）实际在职人数，以财政</w:t>
            </w:r>
            <w:r>
              <w:rPr>
                <w:rFonts w:hint="eastAsia" w:ascii="仿宋_GB2312" w:hAnsi="宋体" w:cs="宋体"/>
                <w:kern w:val="0"/>
                <w:sz w:val="20"/>
                <w:szCs w:val="20"/>
                <w:lang w:eastAsia="zh-CN"/>
              </w:rPr>
              <w:t>局</w:t>
            </w:r>
            <w:r>
              <w:rPr>
                <w:rFonts w:hint="eastAsia" w:ascii="仿宋_GB2312" w:hAnsi="宋体" w:cs="宋体"/>
                <w:kern w:val="0"/>
                <w:sz w:val="20"/>
                <w:szCs w:val="20"/>
              </w:rPr>
              <w:t>确定的部门决算编制口径为准。</w:t>
            </w:r>
            <w:r>
              <w:rPr>
                <w:rFonts w:hint="eastAsia" w:ascii="仿宋_GB2312" w:hAnsi="宋体" w:cs="宋体"/>
                <w:kern w:val="0"/>
                <w:sz w:val="20"/>
                <w:szCs w:val="20"/>
              </w:rPr>
              <w:br w:type="textWrapping"/>
            </w:r>
            <w:r>
              <w:rPr>
                <w:rFonts w:hint="eastAsia" w:ascii="仿宋_GB2312" w:hAnsi="宋体" w:cs="宋体"/>
                <w:kern w:val="0"/>
                <w:sz w:val="20"/>
                <w:szCs w:val="20"/>
              </w:rPr>
              <w:t>编制数：机构编制部门核定批复的部门（单位）的人员编制数。</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2069"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“三公经费”变动率</w:t>
            </w:r>
            <w:r>
              <w:rPr>
                <w:rFonts w:hint="eastAsia" w:ascii="仿宋_GB2312" w:hAnsi="宋体" w:cs="宋体"/>
                <w:color w:val="auto"/>
                <w:kern w:val="0"/>
                <w:sz w:val="20"/>
                <w:szCs w:val="20"/>
                <w:lang w:val="en-US" w:eastAsia="zh-CN"/>
              </w:rPr>
              <w:t>-7%以上</w:t>
            </w:r>
            <w:r>
              <w:rPr>
                <w:rFonts w:hint="eastAsia" w:ascii="仿宋_GB2312" w:hAnsi="宋体" w:cs="宋体"/>
                <w:color w:val="auto"/>
                <w:kern w:val="0"/>
                <w:sz w:val="20"/>
                <w:szCs w:val="20"/>
              </w:rPr>
              <w:t>,计8分；“三公经费”变动率</w:t>
            </w:r>
            <w:r>
              <w:rPr>
                <w:rFonts w:hint="default" w:ascii="Times New Roman" w:hAnsi="Times New Roman" w:cs="Times New Roman"/>
                <w:color w:val="auto"/>
                <w:kern w:val="0"/>
                <w:sz w:val="20"/>
                <w:szCs w:val="20"/>
              </w:rPr>
              <w:t>&lt;</w:t>
            </w:r>
            <w:r>
              <w:rPr>
                <w:rFonts w:hint="eastAsia" w:ascii="仿宋_GB2312" w:hAnsi="宋体" w:cs="宋体"/>
                <w:color w:val="auto"/>
                <w:kern w:val="0"/>
                <w:sz w:val="20"/>
                <w:szCs w:val="20"/>
                <w:lang w:val="en-US" w:eastAsia="zh-CN"/>
              </w:rPr>
              <w:t>-7%</w:t>
            </w:r>
            <w:r>
              <w:rPr>
                <w:rFonts w:hint="eastAsia" w:ascii="仿宋_GB2312" w:hAnsi="宋体" w:cs="宋体"/>
                <w:color w:val="auto"/>
                <w:kern w:val="0"/>
                <w:sz w:val="20"/>
                <w:szCs w:val="20"/>
              </w:rPr>
              <w:t>，每超过一个百分点扣0.8分，扣完为止。</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“三公经费”变动率=[（本年度“三公经费”预算数-上年度“三公经费”预算数）/上年度“三公经费”预算数]×100%</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699" w:hRule="atLeast"/>
          <w:jc w:val="center"/>
        </w:trPr>
        <w:tc>
          <w:tcPr>
            <w:tcW w:w="48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过                                                                                                                                       程</w:t>
            </w:r>
          </w:p>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                                                                                                                                     </w:t>
            </w:r>
          </w:p>
        </w:tc>
        <w:tc>
          <w:tcPr>
            <w:tcW w:w="54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61</w:t>
            </w:r>
          </w:p>
        </w:tc>
        <w:tc>
          <w:tcPr>
            <w:tcW w:w="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预算执行</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20</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100%计满分，每低于5%扣2分，扣完为止。</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预算完成率=（上年结转+年初预算+本年追加预算-年末结余）/（上年结转+年初预算+本年追加预算）×100%。</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946" w:hRule="atLeast"/>
          <w:jc w:val="center"/>
        </w:trPr>
        <w:tc>
          <w:tcPr>
            <w:tcW w:w="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预算控制率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预算控制率=0，计5分；0-10%（含），计4分；10-20%（含），计3分；20-30%（含），计2分；大于30%不得分。</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预算控制率=（本年追加预算/年初预算）×100%。</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907" w:hRule="atLeast"/>
          <w:jc w:val="center"/>
        </w:trPr>
        <w:tc>
          <w:tcPr>
            <w:tcW w:w="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jc w:val="center"/>
              <w:rPr>
                <w:rFonts w:hint="eastAsia" w:ascii="仿宋_GB2312" w:hAnsi="宋体" w:cs="宋体"/>
                <w:color w:val="auto"/>
                <w:kern w:val="0"/>
                <w:sz w:val="20"/>
                <w:szCs w:val="20"/>
              </w:rPr>
            </w:pPr>
            <w:r>
              <w:rPr>
                <w:rFonts w:ascii="Times New Roman" w:hAnsi="Times New Roman" w:cs="Times New Roman"/>
                <w:color w:val="auto"/>
                <w:sz w:val="18"/>
                <w:szCs w:val="18"/>
              </w:rPr>
              <w:t>结转结余变动率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color w:val="auto"/>
                <w:kern w:val="0"/>
                <w:sz w:val="20"/>
                <w:szCs w:val="20"/>
                <w:lang w:val="en-US" w:eastAsia="zh-CN"/>
              </w:rPr>
            </w:pPr>
            <w:r>
              <w:rPr>
                <w:rFonts w:hint="eastAsia" w:ascii="仿宋_GB2312" w:hAnsi="宋体" w:cs="宋体"/>
                <w:color w:val="auto"/>
                <w:kern w:val="0"/>
                <w:sz w:val="20"/>
                <w:szCs w:val="20"/>
                <w:lang w:val="en-US" w:eastAsia="zh-CN"/>
              </w:rPr>
              <w:t>5</w:t>
            </w:r>
          </w:p>
        </w:tc>
        <w:tc>
          <w:tcPr>
            <w:tcW w:w="3030" w:type="dxa"/>
            <w:tcBorders>
              <w:top w:val="nil"/>
              <w:left w:val="nil"/>
              <w:bottom w:val="single" w:color="auto" w:sz="4" w:space="0"/>
              <w:right w:val="single" w:color="auto" w:sz="4" w:space="0"/>
            </w:tcBorders>
            <w:noWrap w:val="0"/>
            <w:vAlign w:val="center"/>
          </w:tcPr>
          <w:p>
            <w:pPr>
              <w:jc w:val="both"/>
              <w:rPr>
                <w:rFonts w:hint="eastAsia" w:ascii="仿宋_GB2312" w:hAnsi="宋体" w:cs="宋体"/>
                <w:color w:val="auto"/>
                <w:kern w:val="0"/>
                <w:sz w:val="20"/>
                <w:szCs w:val="20"/>
              </w:rPr>
            </w:pPr>
            <w:r>
              <w:rPr>
                <w:rFonts w:ascii="Times New Roman" w:hAnsi="Times New Roman" w:cs="Times New Roman"/>
                <w:color w:val="auto"/>
                <w:sz w:val="18"/>
                <w:szCs w:val="18"/>
              </w:rPr>
              <w:t>结转结余</w:t>
            </w:r>
            <w:r>
              <w:rPr>
                <w:rFonts w:hint="eastAsia" w:ascii="仿宋_GB2312" w:hAnsi="宋体" w:cs="宋体"/>
                <w:color w:val="auto"/>
                <w:kern w:val="0"/>
                <w:sz w:val="20"/>
                <w:szCs w:val="20"/>
              </w:rPr>
              <w:t>变动率≦0,计</w:t>
            </w:r>
            <w:r>
              <w:rPr>
                <w:rFonts w:hint="eastAsia" w:ascii="仿宋_GB2312" w:hAnsi="宋体" w:cs="宋体"/>
                <w:color w:val="auto"/>
                <w:kern w:val="0"/>
                <w:sz w:val="20"/>
                <w:szCs w:val="20"/>
                <w:lang w:val="en-US" w:eastAsia="zh-CN"/>
              </w:rPr>
              <w:t>5</w:t>
            </w:r>
            <w:r>
              <w:rPr>
                <w:rFonts w:hint="eastAsia" w:ascii="仿宋_GB2312" w:hAnsi="宋体" w:cs="宋体"/>
                <w:color w:val="auto"/>
                <w:kern w:val="0"/>
                <w:sz w:val="20"/>
                <w:szCs w:val="20"/>
              </w:rPr>
              <w:t>分；</w:t>
            </w:r>
            <w:r>
              <w:rPr>
                <w:rFonts w:ascii="Times New Roman" w:hAnsi="Times New Roman" w:cs="Times New Roman"/>
                <w:color w:val="auto"/>
                <w:sz w:val="18"/>
                <w:szCs w:val="18"/>
              </w:rPr>
              <w:t>结转结余</w:t>
            </w:r>
            <w:r>
              <w:rPr>
                <w:rFonts w:hint="eastAsia" w:ascii="仿宋_GB2312" w:hAnsi="宋体" w:cs="宋体"/>
                <w:color w:val="auto"/>
                <w:kern w:val="0"/>
                <w:sz w:val="20"/>
                <w:szCs w:val="20"/>
              </w:rPr>
              <w:t>变动率＞0，每超过一个百分点扣0.</w:t>
            </w:r>
            <w:r>
              <w:rPr>
                <w:rFonts w:hint="eastAsia" w:ascii="仿宋_GB2312" w:hAnsi="宋体" w:cs="宋体"/>
                <w:color w:val="auto"/>
                <w:kern w:val="0"/>
                <w:sz w:val="20"/>
                <w:szCs w:val="20"/>
                <w:lang w:val="en-US" w:eastAsia="zh-CN"/>
              </w:rPr>
              <w:t>5</w:t>
            </w:r>
            <w:r>
              <w:rPr>
                <w:rFonts w:hint="eastAsia" w:ascii="仿宋_GB2312" w:hAnsi="宋体" w:cs="宋体"/>
                <w:color w:val="auto"/>
                <w:kern w:val="0"/>
                <w:sz w:val="20"/>
                <w:szCs w:val="20"/>
              </w:rPr>
              <w:t>分，扣完为止。</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ascii="Times New Roman" w:hAnsi="Times New Roman" w:cs="Times New Roman"/>
                <w:color w:val="auto"/>
                <w:sz w:val="18"/>
                <w:szCs w:val="18"/>
              </w:rPr>
              <w:t>结转结余变动率=[（本年度累计结转结余资金总额-上年度累计结转结余资金总额）/上年度累计结转结余资金总额]×100%。</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074" w:hRule="atLeast"/>
          <w:jc w:val="center"/>
        </w:trPr>
        <w:tc>
          <w:tcPr>
            <w:tcW w:w="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新建楼堂馆所面积控制率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color w:val="auto"/>
                <w:kern w:val="0"/>
                <w:sz w:val="20"/>
                <w:szCs w:val="20"/>
              </w:rPr>
            </w:pPr>
            <w:r>
              <w:rPr>
                <w:rFonts w:hint="eastAsia" w:ascii="仿宋_GB2312" w:hAnsi="宋体" w:cs="宋体"/>
                <w:color w:val="auto"/>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100%以下（含）计满分，每超出5%扣2分，扣完为止。没有楼堂馆所项目的部门按满分计算。</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color w:val="auto"/>
                <w:kern w:val="0"/>
                <w:sz w:val="20"/>
                <w:szCs w:val="20"/>
              </w:rPr>
            </w:pPr>
            <w:r>
              <w:rPr>
                <w:rFonts w:hint="eastAsia" w:ascii="仿宋_GB2312" w:hAnsi="宋体" w:cs="宋体"/>
                <w:color w:val="auto"/>
                <w:kern w:val="0"/>
                <w:sz w:val="20"/>
                <w:szCs w:val="20"/>
              </w:rPr>
              <w:t>楼堂馆所面积控制率=实际建设面积/批准建设面积×100% 。该指标以201</w:t>
            </w:r>
            <w:r>
              <w:rPr>
                <w:rFonts w:hint="eastAsia" w:ascii="仿宋_GB2312" w:hAnsi="宋体" w:cs="宋体"/>
                <w:color w:val="auto"/>
                <w:kern w:val="0"/>
                <w:sz w:val="20"/>
                <w:szCs w:val="20"/>
                <w:lang w:val="en-US" w:eastAsia="zh-CN"/>
              </w:rPr>
              <w:t>9</w:t>
            </w:r>
            <w:r>
              <w:rPr>
                <w:rFonts w:hint="eastAsia" w:ascii="仿宋_GB2312" w:hAnsi="宋体" w:cs="宋体"/>
                <w:color w:val="auto"/>
                <w:kern w:val="0"/>
                <w:sz w:val="20"/>
                <w:szCs w:val="20"/>
              </w:rPr>
              <w:t>年完工的新建楼堂馆所为评价内容。</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90" w:hRule="atLeast"/>
          <w:jc w:val="center"/>
        </w:trPr>
        <w:tc>
          <w:tcPr>
            <w:tcW w:w="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预算管理</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both"/>
              <w:rPr>
                <w:rFonts w:hint="eastAsia" w:ascii="仿宋_GB2312" w:hAnsi="宋体" w:cs="宋体"/>
                <w:kern w:val="0"/>
                <w:sz w:val="20"/>
                <w:szCs w:val="20"/>
              </w:rPr>
            </w:pPr>
            <w:r>
              <w:rPr>
                <w:rFonts w:hint="eastAsia" w:ascii="仿宋_GB2312" w:hAnsi="宋体" w:cs="宋体"/>
                <w:kern w:val="0"/>
                <w:sz w:val="20"/>
                <w:szCs w:val="20"/>
              </w:rPr>
              <w:t>41</w:t>
            </w: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公用经费控制率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公用经费控制率=（实际支出公用经费总额/预算安排公用经费总额）×100%。</w:t>
            </w:r>
            <w:r>
              <w:rPr>
                <w:rFonts w:hint="eastAsia" w:ascii="仿宋_GB2312" w:hAnsi="宋体" w:cs="宋体"/>
                <w:kern w:val="0"/>
                <w:sz w:val="20"/>
                <w:szCs w:val="20"/>
              </w:rPr>
              <w:br w:type="textWrapping"/>
            </w:r>
            <w:r>
              <w:rPr>
                <w:rFonts w:hint="eastAsia" w:ascii="仿宋_GB2312" w:hAnsi="宋体" w:cs="宋体"/>
                <w:kern w:val="0"/>
                <w:sz w:val="18"/>
                <w:szCs w:val="20"/>
              </w:rPr>
              <w:t>公用经费支出是指部门基本支出中的一般商品和服务支出。</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0</w:t>
            </w:r>
          </w:p>
        </w:tc>
      </w:tr>
      <w:tr>
        <w:tblPrEx>
          <w:tblCellMar>
            <w:top w:w="0" w:type="dxa"/>
            <w:left w:w="108" w:type="dxa"/>
            <w:bottom w:w="0" w:type="dxa"/>
            <w:right w:w="108" w:type="dxa"/>
          </w:tblCellMar>
        </w:tblPrEx>
        <w:trPr>
          <w:trHeight w:val="855" w:hRule="atLeast"/>
          <w:jc w:val="center"/>
        </w:trPr>
        <w:tc>
          <w:tcPr>
            <w:tcW w:w="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“三公经费”控制率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100%以下（含）计满分，每超出1%扣1分，扣完为止。</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18"/>
                <w:szCs w:val="18"/>
              </w:rPr>
            </w:pPr>
            <w:r>
              <w:rPr>
                <w:rFonts w:hint="eastAsia" w:ascii="仿宋_GB2312" w:hAnsi="宋体" w:cs="宋体"/>
                <w:kern w:val="0"/>
                <w:sz w:val="18"/>
                <w:szCs w:val="18"/>
              </w:rPr>
              <w:t>“三公经费”控制率</w:t>
            </w:r>
            <w:r>
              <w:rPr>
                <w:rFonts w:hint="eastAsia" w:ascii="仿宋_GB2312" w:hAnsi="宋体" w:cs="宋体"/>
                <w:kern w:val="0"/>
                <w:sz w:val="18"/>
                <w:szCs w:val="18"/>
                <w:lang w:val="en-US" w:eastAsia="zh-CN"/>
              </w:rPr>
              <w:t>=</w:t>
            </w:r>
            <w:r>
              <w:rPr>
                <w:rFonts w:hint="eastAsia" w:ascii="仿宋_GB2312" w:hAnsi="宋体" w:cs="宋体"/>
                <w:kern w:val="0"/>
                <w:sz w:val="18"/>
                <w:szCs w:val="18"/>
              </w:rPr>
              <w:t>（“三公经费”实际支出数/“三公经费”预算安排数）×100%。</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724" w:hRule="atLeast"/>
          <w:jc w:val="center"/>
        </w:trPr>
        <w:tc>
          <w:tcPr>
            <w:tcW w:w="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政府采购执行率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100%计满分，每超过（降低）5%扣2分。扣完为止。</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政府采购执行率=（实际政府采购金额/政府采购预算数）×100%</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trHeight w:val="1448" w:hRule="atLeast"/>
          <w:jc w:val="center"/>
        </w:trPr>
        <w:tc>
          <w:tcPr>
            <w:tcW w:w="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管理制度健全性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①有内部财务管理制度、会计核算制度等管理制度，2分；②有本部门厉行节约制度,2分；③相关管理制度合法、合规、完整，2分；④相关管理制度得到有效执行，2分。</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90" w:hRule="atLeast"/>
          <w:jc w:val="center"/>
        </w:trPr>
        <w:tc>
          <w:tcPr>
            <w:tcW w:w="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资金使用合规性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仿宋_GB2312" w:hAnsi="宋体" w:cs="宋体"/>
                <w:kern w:val="0"/>
                <w:sz w:val="20"/>
                <w:szCs w:val="20"/>
              </w:rPr>
              <w:br w:type="textWrapping"/>
            </w:r>
            <w:r>
              <w:rPr>
                <w:rFonts w:hint="eastAsia" w:ascii="仿宋_GB2312" w:hAnsi="宋体" w:cs="宋体"/>
                <w:kern w:val="0"/>
                <w:sz w:val="20"/>
                <w:szCs w:val="20"/>
              </w:rPr>
              <w:t>以上情况每出现一例不符合要求的扣1分，扣完为止。</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trHeight w:val="301" w:hRule="atLeast"/>
          <w:jc w:val="center"/>
        </w:trPr>
        <w:tc>
          <w:tcPr>
            <w:tcW w:w="48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预决算</w:t>
            </w:r>
            <w:r>
              <w:rPr>
                <w:rFonts w:hint="eastAsia" w:ascii="仿宋_GB2312" w:hAnsi="宋体" w:cs="宋体"/>
                <w:kern w:val="0"/>
                <w:sz w:val="20"/>
                <w:szCs w:val="20"/>
                <w:lang w:eastAsia="zh-CN"/>
              </w:rPr>
              <w:t>和“三公经费”</w:t>
            </w:r>
            <w:r>
              <w:rPr>
                <w:rFonts w:hint="eastAsia" w:ascii="仿宋_GB2312" w:hAnsi="宋体" w:cs="宋体"/>
                <w:kern w:val="0"/>
                <w:sz w:val="20"/>
                <w:szCs w:val="20"/>
              </w:rPr>
              <w:t>信息公开性</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5</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预决算信息是指与部门预算、执行、决算、监督、绩效等管理相关的信息。</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5</w:t>
            </w:r>
          </w:p>
        </w:tc>
      </w:tr>
      <w:tr>
        <w:tblPrEx>
          <w:tblCellMar>
            <w:top w:w="0" w:type="dxa"/>
            <w:left w:w="108" w:type="dxa"/>
            <w:bottom w:w="0" w:type="dxa"/>
            <w:right w:w="108" w:type="dxa"/>
          </w:tblCellMar>
        </w:tblPrEx>
        <w:trPr>
          <w:trHeight w:val="1806" w:hRule="atLeast"/>
          <w:jc w:val="center"/>
        </w:trPr>
        <w:tc>
          <w:tcPr>
            <w:tcW w:w="48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产出及效率</w:t>
            </w:r>
          </w:p>
        </w:tc>
        <w:tc>
          <w:tcPr>
            <w:tcW w:w="54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26</w:t>
            </w:r>
          </w:p>
        </w:tc>
        <w:tc>
          <w:tcPr>
            <w:tcW w:w="70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职责履行</w:t>
            </w:r>
          </w:p>
        </w:tc>
        <w:tc>
          <w:tcPr>
            <w:tcW w:w="6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重点工作实际完成率</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8</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办201</w:t>
            </w:r>
            <w:r>
              <w:rPr>
                <w:rFonts w:hint="eastAsia" w:ascii="仿宋_GB2312" w:hAnsi="宋体" w:cs="宋体"/>
                <w:kern w:val="0"/>
                <w:sz w:val="20"/>
                <w:szCs w:val="20"/>
                <w:lang w:val="en-US" w:eastAsia="zh-CN"/>
              </w:rPr>
              <w:t>9</w:t>
            </w:r>
            <w:r>
              <w:rPr>
                <w:rFonts w:hint="eastAsia" w:ascii="仿宋_GB2312" w:hAnsi="宋体" w:cs="宋体"/>
                <w:kern w:val="0"/>
                <w:sz w:val="20"/>
                <w:szCs w:val="20"/>
              </w:rPr>
              <w:t>年对各部门为民办实事和部门重点工程与重点工作考核分数折算。</w:t>
            </w:r>
            <w:r>
              <w:rPr>
                <w:rFonts w:hint="eastAsia" w:ascii="仿宋_GB2312" w:hAnsi="宋体" w:cs="宋体"/>
                <w:kern w:val="0"/>
                <w:sz w:val="20"/>
                <w:szCs w:val="20"/>
              </w:rPr>
              <w:br w:type="textWrapping"/>
            </w:r>
            <w:r>
              <w:rPr>
                <w:rFonts w:hint="eastAsia" w:ascii="仿宋_GB2312" w:hAnsi="宋体" w:cs="宋体"/>
                <w:kern w:val="0"/>
                <w:sz w:val="20"/>
                <w:szCs w:val="20"/>
              </w:rPr>
              <w:t>该项得分=（</w:t>
            </w:r>
            <w:r>
              <w:rPr>
                <w:rFonts w:hint="eastAsia" w:ascii="仿宋_GB2312" w:hAnsi="宋体" w:cs="宋体"/>
                <w:kern w:val="0"/>
                <w:sz w:val="20"/>
                <w:szCs w:val="20"/>
                <w:lang w:eastAsia="zh-CN"/>
              </w:rPr>
              <w:t>县综合考评</w:t>
            </w:r>
            <w:r>
              <w:rPr>
                <w:rFonts w:hint="eastAsia" w:ascii="仿宋_GB2312" w:hAnsi="宋体" w:cs="宋体"/>
                <w:kern w:val="0"/>
                <w:sz w:val="20"/>
                <w:szCs w:val="20"/>
              </w:rPr>
              <w:t>办对应部分考核得分/</w:t>
            </w:r>
            <w:r>
              <w:rPr>
                <w:rFonts w:hint="eastAsia" w:ascii="仿宋_GB2312" w:hAnsi="宋体" w:cs="宋体"/>
                <w:kern w:val="0"/>
                <w:sz w:val="20"/>
                <w:szCs w:val="20"/>
                <w:lang w:val="en-US" w:eastAsia="zh-CN"/>
              </w:rPr>
              <w:t>100</w:t>
            </w:r>
            <w:r>
              <w:rPr>
                <w:rFonts w:hint="eastAsia" w:ascii="仿宋_GB2312" w:hAnsi="宋体" w:cs="宋体"/>
                <w:kern w:val="0"/>
                <w:sz w:val="20"/>
                <w:szCs w:val="20"/>
              </w:rPr>
              <w:t>）*8</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　</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8</w:t>
            </w:r>
          </w:p>
        </w:tc>
      </w:tr>
      <w:tr>
        <w:tblPrEx>
          <w:tblCellMar>
            <w:top w:w="0" w:type="dxa"/>
            <w:left w:w="108" w:type="dxa"/>
            <w:bottom w:w="0" w:type="dxa"/>
            <w:right w:w="108" w:type="dxa"/>
          </w:tblCellMar>
        </w:tblPrEx>
        <w:trPr>
          <w:trHeight w:val="1318"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履职 效益</w:t>
            </w: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91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经济</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restart"/>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5747" w:type="dxa"/>
            <w:gridSpan w:val="2"/>
            <w:vMerge w:val="restart"/>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此两项指标为设置部门整体支出绩效评价指标时必须考虑的共性要素，可根据部门实际情况有选择的进行设置，并将其细化为相应的个性化指标。</w:t>
            </w:r>
          </w:p>
        </w:tc>
        <w:tc>
          <w:tcPr>
            <w:tcW w:w="473" w:type="dxa"/>
            <w:vMerge w:val="restart"/>
            <w:tcBorders>
              <w:top w:val="nil"/>
              <w:left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trHeight w:val="90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18"/>
                <w:szCs w:val="18"/>
              </w:rPr>
            </w:pPr>
            <w:r>
              <w:rPr>
                <w:rFonts w:hint="eastAsia" w:ascii="仿宋_GB2312" w:hAnsi="宋体" w:cs="宋体"/>
                <w:kern w:val="0"/>
                <w:sz w:val="18"/>
                <w:szCs w:val="18"/>
              </w:rPr>
              <w:t>社会</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18"/>
                <w:szCs w:val="18"/>
              </w:rPr>
              <w:t>效益</w:t>
            </w:r>
          </w:p>
        </w:tc>
        <w:tc>
          <w:tcPr>
            <w:tcW w:w="602" w:type="dxa"/>
            <w:vMerge w:val="continue"/>
            <w:tcBorders>
              <w:top w:val="nil"/>
              <w:left w:val="single" w:color="auto" w:sz="4" w:space="0"/>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c>
          <w:tcPr>
            <w:tcW w:w="5747" w:type="dxa"/>
            <w:gridSpan w:val="2"/>
            <w:vMerge w:val="continue"/>
            <w:tcBorders>
              <w:top w:val="single" w:color="auto" w:sz="4" w:space="0"/>
              <w:left w:val="single" w:color="auto" w:sz="4" w:space="0"/>
              <w:bottom w:val="nil"/>
              <w:right w:val="single" w:color="000000" w:sz="4" w:space="0"/>
            </w:tcBorders>
            <w:noWrap w:val="0"/>
            <w:vAlign w:val="center"/>
          </w:tcPr>
          <w:p>
            <w:pPr>
              <w:widowControl/>
              <w:spacing w:line="260" w:lineRule="exact"/>
              <w:jc w:val="left"/>
              <w:rPr>
                <w:rFonts w:hint="eastAsia" w:ascii="仿宋_GB2312" w:hAnsi="宋体" w:cs="宋体"/>
                <w:kern w:val="0"/>
                <w:sz w:val="20"/>
                <w:szCs w:val="20"/>
              </w:rPr>
            </w:pPr>
          </w:p>
        </w:tc>
        <w:tc>
          <w:tcPr>
            <w:tcW w:w="473" w:type="dxa"/>
            <w:vMerge w:val="continue"/>
            <w:tcBorders>
              <w:left w:val="nil"/>
              <w:bottom w:val="nil"/>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p>
        </w:tc>
      </w:tr>
      <w:tr>
        <w:tblPrEx>
          <w:tblCellMar>
            <w:top w:w="0" w:type="dxa"/>
            <w:left w:w="108" w:type="dxa"/>
            <w:bottom w:w="0" w:type="dxa"/>
            <w:right w:w="108" w:type="dxa"/>
          </w:tblCellMar>
        </w:tblPrEx>
        <w:trPr>
          <w:trHeight w:val="1525" w:hRule="atLeast"/>
          <w:jc w:val="center"/>
        </w:trPr>
        <w:tc>
          <w:tcPr>
            <w:tcW w:w="488"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12</w:t>
            </w: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行政</w:t>
            </w:r>
          </w:p>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效能</w:t>
            </w:r>
          </w:p>
        </w:tc>
        <w:tc>
          <w:tcPr>
            <w:tcW w:w="602"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促进部门改进文风会风，加强经费及资产管理，推动网上办事，提高行政效率，降低行政成本效果较好的计6分；一般3分；无效果或者效果不明显0分。</w:t>
            </w:r>
          </w:p>
        </w:tc>
        <w:tc>
          <w:tcPr>
            <w:tcW w:w="2717" w:type="dxa"/>
            <w:tcBorders>
              <w:top w:val="single" w:color="auto" w:sz="4" w:space="0"/>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根据部门自评材料评定。</w:t>
            </w:r>
          </w:p>
        </w:tc>
        <w:tc>
          <w:tcPr>
            <w:tcW w:w="473" w:type="dxa"/>
            <w:tcBorders>
              <w:top w:val="single" w:color="auto" w:sz="4" w:space="0"/>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trHeight w:val="1434" w:hRule="atLeast"/>
          <w:jc w:val="center"/>
        </w:trPr>
        <w:tc>
          <w:tcPr>
            <w:tcW w:w="488"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542"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700"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1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91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社会公众或服务对象满意度</w:t>
            </w:r>
          </w:p>
        </w:tc>
        <w:tc>
          <w:tcPr>
            <w:tcW w:w="602"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kern w:val="0"/>
                <w:sz w:val="20"/>
                <w:szCs w:val="20"/>
              </w:rPr>
              <w:t>6</w:t>
            </w:r>
          </w:p>
        </w:tc>
        <w:tc>
          <w:tcPr>
            <w:tcW w:w="3030"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90%（含）以上计6分；</w:t>
            </w:r>
            <w:r>
              <w:rPr>
                <w:rFonts w:hint="eastAsia" w:ascii="仿宋_GB2312" w:hAnsi="宋体" w:cs="宋体"/>
                <w:kern w:val="0"/>
                <w:sz w:val="20"/>
                <w:szCs w:val="20"/>
              </w:rPr>
              <w:br w:type="textWrapping"/>
            </w:r>
            <w:r>
              <w:rPr>
                <w:rFonts w:hint="eastAsia" w:ascii="仿宋_GB2312" w:hAnsi="宋体" w:cs="宋体"/>
                <w:kern w:val="0"/>
                <w:sz w:val="20"/>
                <w:szCs w:val="20"/>
              </w:rPr>
              <w:t>80%（含）-90%，计4分；</w:t>
            </w:r>
            <w:r>
              <w:rPr>
                <w:rFonts w:hint="eastAsia" w:ascii="仿宋_GB2312" w:hAnsi="宋体" w:cs="宋体"/>
                <w:kern w:val="0"/>
                <w:sz w:val="20"/>
                <w:szCs w:val="20"/>
              </w:rPr>
              <w:br w:type="textWrapping"/>
            </w:r>
            <w:r>
              <w:rPr>
                <w:rFonts w:hint="eastAsia" w:ascii="仿宋_GB2312" w:hAnsi="宋体" w:cs="宋体"/>
                <w:kern w:val="0"/>
                <w:sz w:val="20"/>
                <w:szCs w:val="20"/>
              </w:rPr>
              <w:t>70%（含）-80%，计2分；</w:t>
            </w:r>
            <w:r>
              <w:rPr>
                <w:rFonts w:hint="eastAsia" w:ascii="仿宋_GB2312" w:hAnsi="宋体" w:cs="宋体"/>
                <w:kern w:val="0"/>
                <w:sz w:val="20"/>
                <w:szCs w:val="20"/>
              </w:rPr>
              <w:br w:type="textWrapping"/>
            </w:r>
            <w:r>
              <w:rPr>
                <w:rFonts w:hint="eastAsia" w:ascii="仿宋_GB2312" w:hAnsi="宋体" w:cs="宋体"/>
                <w:kern w:val="0"/>
                <w:sz w:val="20"/>
                <w:szCs w:val="20"/>
              </w:rPr>
              <w:t>低于70%计0分。</w:t>
            </w:r>
          </w:p>
        </w:tc>
        <w:tc>
          <w:tcPr>
            <w:tcW w:w="2717" w:type="dxa"/>
            <w:tcBorders>
              <w:top w:val="nil"/>
              <w:left w:val="nil"/>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r>
              <w:rPr>
                <w:rFonts w:hint="eastAsia" w:ascii="仿宋_GB2312" w:hAnsi="宋体" w:cs="宋体"/>
                <w:kern w:val="0"/>
                <w:sz w:val="20"/>
                <w:szCs w:val="20"/>
              </w:rPr>
              <w:t>社会公众或服务对象是指部门（单位）履行职责而影响到的部门、群体或个人，一般采取社会调查的方式。</w:t>
            </w:r>
          </w:p>
        </w:tc>
        <w:tc>
          <w:tcPr>
            <w:tcW w:w="473" w:type="dxa"/>
            <w:tcBorders>
              <w:top w:val="nil"/>
              <w:left w:val="nil"/>
              <w:bottom w:val="single" w:color="auto" w:sz="4" w:space="0"/>
              <w:right w:val="single" w:color="auto" w:sz="4" w:space="0"/>
            </w:tcBorders>
            <w:noWrap w:val="0"/>
            <w:vAlign w:val="center"/>
          </w:tcPr>
          <w:p>
            <w:pPr>
              <w:widowControl/>
              <w:spacing w:line="260" w:lineRule="exact"/>
              <w:jc w:val="center"/>
              <w:rPr>
                <w:rFonts w:hint="eastAsia"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6</w:t>
            </w:r>
          </w:p>
        </w:tc>
      </w:tr>
      <w:tr>
        <w:tblPrEx>
          <w:tblCellMar>
            <w:top w:w="0" w:type="dxa"/>
            <w:left w:w="108" w:type="dxa"/>
            <w:bottom w:w="0" w:type="dxa"/>
            <w:right w:w="108" w:type="dxa"/>
          </w:tblCellMar>
        </w:tblPrEx>
        <w:trPr>
          <w:trHeight w:val="582" w:hRule="atLeast"/>
          <w:jc w:val="center"/>
        </w:trPr>
        <w:tc>
          <w:tcPr>
            <w:tcW w:w="173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eastAsia" w:ascii="仿宋_GB2312" w:hAnsi="宋体" w:cs="宋体"/>
                <w:kern w:val="0"/>
                <w:sz w:val="20"/>
                <w:szCs w:val="20"/>
              </w:rPr>
            </w:pPr>
            <w:r>
              <w:rPr>
                <w:rFonts w:hint="eastAsia" w:ascii="仿宋_GB2312" w:hAnsi="宋体" w:cs="宋体"/>
                <w:b/>
                <w:bCs/>
                <w:kern w:val="0"/>
                <w:sz w:val="20"/>
                <w:szCs w:val="20"/>
              </w:rPr>
              <w:t>合   计</w:t>
            </w:r>
          </w:p>
        </w:tc>
        <w:tc>
          <w:tcPr>
            <w:tcW w:w="6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91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602"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100</w:t>
            </w:r>
          </w:p>
        </w:tc>
        <w:tc>
          <w:tcPr>
            <w:tcW w:w="303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2717"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hint="eastAsia" w:ascii="仿宋_GB2312" w:hAnsi="宋体" w:cs="宋体"/>
                <w:kern w:val="0"/>
                <w:sz w:val="20"/>
                <w:szCs w:val="20"/>
              </w:rPr>
            </w:pPr>
          </w:p>
        </w:tc>
        <w:tc>
          <w:tcPr>
            <w:tcW w:w="473"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hint="default" w:ascii="仿宋_GB2312" w:hAnsi="宋体" w:eastAsia="仿宋_GB2312" w:cs="宋体"/>
                <w:kern w:val="0"/>
                <w:sz w:val="20"/>
                <w:szCs w:val="20"/>
                <w:lang w:val="en-US" w:eastAsia="zh-CN"/>
              </w:rPr>
            </w:pPr>
            <w:r>
              <w:rPr>
                <w:rFonts w:hint="eastAsia" w:ascii="仿宋_GB2312" w:hAnsi="宋体" w:cs="宋体"/>
                <w:kern w:val="0"/>
                <w:sz w:val="20"/>
                <w:szCs w:val="20"/>
                <w:lang w:val="en-US" w:eastAsia="zh-CN"/>
              </w:rPr>
              <w:t>92</w:t>
            </w:r>
          </w:p>
        </w:tc>
      </w:tr>
    </w:tbl>
    <w:p/>
    <w:p>
      <w:pPr>
        <w:jc w:val="left"/>
        <w:rPr>
          <w:rFonts w:ascii="宋体" w:cs="黑体"/>
          <w:b/>
          <w:color w:val="000000"/>
          <w:kern w:val="0"/>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872604"/>
    <w:rsid w:val="06872604"/>
    <w:rsid w:val="254E6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2020-11-16T08:58:00Z</dcterms:created>
  <dc:creator>李谭越越</dc:creator>
  <cp:lastModifiedBy>李谭越越</cp:lastModifiedBy>
  <dcterms:modified xsi:type="dcterms:W3CDTF">2020-11-16T08:59:04Z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