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bCs/>
          <w:color w:val="000000"/>
          <w:kern w:val="0"/>
          <w:sz w:val="52"/>
          <w:szCs w:val="52"/>
        </w:rPr>
      </w:pPr>
      <w:r>
        <w:rPr>
          <w:rFonts w:hint="eastAsia" w:ascii="宋体" w:hAnsi="宋体" w:cs="黑体"/>
          <w:b/>
          <w:bCs/>
          <w:color w:val="000000"/>
          <w:kern w:val="0"/>
          <w:sz w:val="52"/>
          <w:szCs w:val="52"/>
        </w:rPr>
        <w:t>湖南永兴丹霞国家森林公园管理处</w:t>
      </w:r>
    </w:p>
    <w:p>
      <w:pPr>
        <w:jc w:val="center"/>
        <w:rPr>
          <w:rFonts w:hint="eastAsia" w:ascii="宋体" w:hAnsi="宋体" w:cs="黑体"/>
          <w:b/>
          <w:bCs/>
          <w:color w:val="000000"/>
          <w:kern w:val="0"/>
          <w:sz w:val="52"/>
          <w:szCs w:val="52"/>
        </w:rPr>
      </w:pPr>
      <w:r>
        <w:rPr>
          <w:rFonts w:hint="eastAsia" w:ascii="宋体" w:hAnsi="宋体" w:cs="黑体"/>
          <w:b/>
          <w:bCs/>
          <w:color w:val="000000"/>
          <w:kern w:val="0"/>
          <w:sz w:val="52"/>
          <w:szCs w:val="52"/>
        </w:rPr>
        <w:t>2019年度部门整体支出绩效评价</w:t>
      </w:r>
    </w:p>
    <w:p>
      <w:pPr>
        <w:jc w:val="center"/>
        <w:rPr>
          <w:rFonts w:hint="eastAsia" w:ascii="宋体" w:hAnsi="宋体" w:cs="黑体"/>
          <w:b/>
          <w:bCs/>
          <w:color w:val="000000"/>
          <w:kern w:val="0"/>
          <w:sz w:val="52"/>
          <w:szCs w:val="52"/>
        </w:rPr>
      </w:pPr>
      <w:r>
        <w:rPr>
          <w:rFonts w:hint="eastAsia" w:ascii="宋体" w:hAnsi="宋体" w:cs="黑体"/>
          <w:b/>
          <w:bCs/>
          <w:color w:val="000000"/>
          <w:kern w:val="0"/>
          <w:sz w:val="52"/>
          <w:szCs w:val="52"/>
        </w:rPr>
        <w:t>报告</w:t>
      </w:r>
    </w:p>
    <w:p>
      <w:pPr>
        <w:ind w:firstLine="960" w:firstLineChars="300"/>
        <w:jc w:val="left"/>
        <w:rPr>
          <w:rFonts w:hint="eastAsia" w:ascii="宋体" w:hAnsi="宋体" w:cs="黑体"/>
          <w:color w:val="000000"/>
          <w:kern w:val="0"/>
          <w:sz w:val="28"/>
          <w:szCs w:val="28"/>
        </w:rPr>
      </w:pPr>
      <w:r>
        <w:rPr>
          <w:rFonts w:hint="eastAsia" w:ascii="宋体" w:hAnsi="宋体"/>
          <w:sz w:val="32"/>
          <w:szCs w:val="32"/>
        </w:rPr>
        <w:t>根</w:t>
      </w:r>
      <w:r>
        <w:rPr>
          <w:rFonts w:hint="eastAsia" w:ascii="宋体" w:hAnsi="宋体" w:cs="黑体"/>
          <w:color w:val="000000"/>
          <w:kern w:val="0"/>
          <w:sz w:val="28"/>
          <w:szCs w:val="28"/>
        </w:rPr>
        <w:t>据《永兴财政局关于做好2019年度财政支出绩效评价工作的通知》（永财绩函[2020]39号）文件精神，我单位对2019年度部门整体支出绩效进行了全面综合评价。2019年度我单位部门整体支出绩效自评等95分。</w:t>
      </w:r>
    </w:p>
    <w:p>
      <w:pPr>
        <w:spacing w:line="560" w:lineRule="exact"/>
        <w:jc w:val="center"/>
        <w:rPr>
          <w:rFonts w:hint="eastAsia" w:ascii="方正小标宋_GBK" w:hAnsi="宋体" w:cs="宋体"/>
          <w:kern w:val="0"/>
          <w:sz w:val="36"/>
          <w:szCs w:val="36"/>
        </w:rPr>
      </w:pPr>
      <w:r>
        <w:rPr>
          <w:rFonts w:ascii="方正小标宋_GBK" w:hAnsi="宋体" w:cs="宋体"/>
          <w:kern w:val="0"/>
          <w:sz w:val="36"/>
          <w:szCs w:val="36"/>
        </w:rPr>
        <w:t>2019年度</w:t>
      </w:r>
      <w:r>
        <w:rPr>
          <w:rFonts w:ascii="方正小标宋_GBK" w:hAnsi="方正小标宋_GBK" w:cs="宋体"/>
          <w:kern w:val="0"/>
          <w:sz w:val="36"/>
          <w:szCs w:val="36"/>
        </w:rPr>
        <w:t>部门整体支出绩效评价指标评分表</w:t>
      </w:r>
    </w:p>
    <w:p>
      <w:pPr>
        <w:spacing w:line="560" w:lineRule="exact"/>
        <w:jc w:val="left"/>
        <w:rPr>
          <w:rFonts w:ascii="仿宋_GB2312" w:hAnsi="仿宋_GB2312"/>
          <w:kern w:val="0"/>
        </w:rPr>
      </w:pPr>
      <w:r>
        <w:rPr>
          <w:rFonts w:ascii="仿宋_GB2312" w:hAnsi="仿宋_GB2312"/>
          <w:kern w:val="0"/>
        </w:rPr>
        <w:t>填报单位（盖章）：湖南永兴丹霞国家森林公园管理处</w:t>
      </w:r>
    </w:p>
    <w:tbl>
      <w:tblPr>
        <w:tblStyle w:val="2"/>
        <w:tblW w:w="9936" w:type="dxa"/>
        <w:jc w:val="center"/>
        <w:tblLayout w:type="fixed"/>
        <w:tblCellMar>
          <w:top w:w="0" w:type="dxa"/>
          <w:left w:w="108" w:type="dxa"/>
          <w:bottom w:w="0" w:type="dxa"/>
          <w:right w:w="108" w:type="dxa"/>
        </w:tblCellMar>
      </w:tblPr>
      <w:tblGrid>
        <w:gridCol w:w="572"/>
        <w:gridCol w:w="458"/>
        <w:gridCol w:w="700"/>
        <w:gridCol w:w="613"/>
        <w:gridCol w:w="913"/>
        <w:gridCol w:w="602"/>
        <w:gridCol w:w="2818"/>
        <w:gridCol w:w="2693"/>
        <w:gridCol w:w="567"/>
      </w:tblGrid>
      <w:tr>
        <w:tblPrEx>
          <w:tblCellMar>
            <w:top w:w="0" w:type="dxa"/>
            <w:left w:w="108" w:type="dxa"/>
            <w:bottom w:w="0" w:type="dxa"/>
            <w:right w:w="108" w:type="dxa"/>
          </w:tblCellMar>
        </w:tblPrEx>
        <w:trPr>
          <w:trHeight w:val="773"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18"/>
                <w:szCs w:val="18"/>
              </w:rPr>
              <w:t>一级指标</w:t>
            </w:r>
          </w:p>
        </w:tc>
        <w:tc>
          <w:tcPr>
            <w:tcW w:w="45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三级</w:t>
            </w:r>
          </w:p>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分值</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评价标准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b/>
                <w:bCs/>
                <w:kern w:val="0"/>
                <w:sz w:val="20"/>
                <w:szCs w:val="20"/>
              </w:rPr>
            </w:pPr>
            <w:r>
              <w:rPr>
                <w:rFonts w:hint="eastAsia" w:ascii="仿宋_GB2312" w:hAnsi="宋体"/>
                <w:b/>
                <w:bCs/>
                <w:kern w:val="0"/>
                <w:sz w:val="20"/>
                <w:szCs w:val="20"/>
              </w:rPr>
              <w:t>得分</w:t>
            </w:r>
          </w:p>
        </w:tc>
      </w:tr>
      <w:tr>
        <w:tblPrEx>
          <w:tblCellMar>
            <w:top w:w="0" w:type="dxa"/>
            <w:left w:w="108" w:type="dxa"/>
            <w:bottom w:w="0" w:type="dxa"/>
            <w:right w:w="108" w:type="dxa"/>
          </w:tblCellMar>
        </w:tblPrEx>
        <w:trPr>
          <w:trHeight w:val="2158" w:hRule="atLeast"/>
          <w:jc w:val="center"/>
        </w:trPr>
        <w:tc>
          <w:tcPr>
            <w:tcW w:w="572"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投入</w:t>
            </w:r>
          </w:p>
        </w:tc>
        <w:tc>
          <w:tcPr>
            <w:tcW w:w="458" w:type="dxa"/>
            <w:vMerge w:val="restart"/>
            <w:tcBorders>
              <w:top w:val="nil"/>
              <w:left w:val="nil"/>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预算配置</w:t>
            </w:r>
          </w:p>
        </w:tc>
        <w:tc>
          <w:tcPr>
            <w:tcW w:w="613"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13</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5</w:t>
            </w:r>
          </w:p>
        </w:tc>
        <w:tc>
          <w:tcPr>
            <w:tcW w:w="2818" w:type="dxa"/>
            <w:tcBorders>
              <w:top w:val="nil"/>
              <w:left w:val="nil"/>
              <w:bottom w:val="nil"/>
              <w:right w:val="nil"/>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以</w:t>
            </w:r>
            <w:r>
              <w:rPr>
                <w:rFonts w:hint="eastAsia" w:ascii="仿宋_GB2312" w:hAnsi="仿宋_GB2312"/>
                <w:kern w:val="0"/>
                <w:sz w:val="20"/>
                <w:szCs w:val="20"/>
              </w:rPr>
              <w:t>100%</w:t>
            </w:r>
            <w:r>
              <w:rPr>
                <w:rFonts w:hint="eastAsia" w:ascii="宋体" w:hAnsi="宋体"/>
                <w:kern w:val="0"/>
                <w:sz w:val="20"/>
                <w:szCs w:val="20"/>
              </w:rPr>
              <w:t>为标准。在职人员控制率≦</w:t>
            </w:r>
            <w:r>
              <w:rPr>
                <w:rFonts w:hint="eastAsia" w:ascii="仿宋_GB2312" w:hAnsi="仿宋_GB2312"/>
                <w:kern w:val="0"/>
                <w:sz w:val="20"/>
                <w:szCs w:val="20"/>
              </w:rPr>
              <w:t>100%</w:t>
            </w:r>
            <w:r>
              <w:rPr>
                <w:rFonts w:hint="eastAsia" w:ascii="宋体" w:hAnsi="宋体"/>
                <w:kern w:val="0"/>
                <w:sz w:val="20"/>
                <w:szCs w:val="20"/>
              </w:rPr>
              <w:t>，计</w:t>
            </w:r>
            <w:r>
              <w:rPr>
                <w:rFonts w:hint="eastAsia" w:ascii="仿宋_GB2312" w:hAnsi="仿宋_GB2312"/>
                <w:kern w:val="0"/>
                <w:sz w:val="20"/>
                <w:szCs w:val="20"/>
              </w:rPr>
              <w:t>5</w:t>
            </w:r>
            <w:r>
              <w:rPr>
                <w:rFonts w:hint="eastAsia" w:ascii="宋体" w:hAnsi="宋体"/>
                <w:kern w:val="0"/>
                <w:sz w:val="20"/>
                <w:szCs w:val="20"/>
              </w:rPr>
              <w:t>分；每超过一个百分点扣</w:t>
            </w:r>
            <w:r>
              <w:rPr>
                <w:rFonts w:hint="eastAsia" w:ascii="仿宋_GB2312" w:hAnsi="仿宋_GB2312"/>
                <w:kern w:val="0"/>
                <w:sz w:val="20"/>
                <w:szCs w:val="20"/>
              </w:rPr>
              <w:t>0.5</w:t>
            </w:r>
            <w:r>
              <w:rPr>
                <w:rFonts w:hint="eastAsia" w:ascii="宋体" w:hAnsi="宋体"/>
                <w:kern w:val="0"/>
                <w:sz w:val="20"/>
                <w:szCs w:val="20"/>
              </w:rPr>
              <w:t>分，扣完为止。</w:t>
            </w:r>
          </w:p>
        </w:tc>
        <w:tc>
          <w:tcPr>
            <w:tcW w:w="269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在职人员控制率</w:t>
            </w:r>
            <w:r>
              <w:rPr>
                <w:rFonts w:hint="eastAsia" w:ascii="仿宋_GB2312" w:hAnsi="仿宋_GB2312"/>
                <w:kern w:val="0"/>
                <w:sz w:val="20"/>
                <w:szCs w:val="20"/>
              </w:rPr>
              <w:t>=</w:t>
            </w:r>
            <w:r>
              <w:rPr>
                <w:rFonts w:hint="eastAsia" w:ascii="宋体" w:hAnsi="宋体"/>
                <w:kern w:val="0"/>
                <w:sz w:val="20"/>
                <w:szCs w:val="20"/>
              </w:rPr>
              <w:t>（在职人员数</w:t>
            </w:r>
            <w:r>
              <w:rPr>
                <w:rFonts w:hint="eastAsia" w:ascii="仿宋_GB2312" w:hAnsi="仿宋_GB2312"/>
                <w:kern w:val="0"/>
                <w:sz w:val="20"/>
                <w:szCs w:val="20"/>
              </w:rPr>
              <w:t>/</w:t>
            </w:r>
            <w:r>
              <w:rPr>
                <w:rFonts w:hint="eastAsia" w:ascii="宋体" w:hAnsi="宋体"/>
                <w:kern w:val="0"/>
                <w:sz w:val="20"/>
                <w:szCs w:val="20"/>
              </w:rPr>
              <w:t>编制数）×</w:t>
            </w:r>
            <w:r>
              <w:rPr>
                <w:rFonts w:hint="eastAsia" w:ascii="仿宋_GB2312" w:hAnsi="仿宋_GB2312"/>
                <w:kern w:val="0"/>
                <w:sz w:val="20"/>
                <w:szCs w:val="20"/>
              </w:rPr>
              <w:t>100%</w:t>
            </w:r>
            <w:r>
              <w:rPr>
                <w:rFonts w:hint="eastAsia" w:ascii="宋体" w:hAnsi="宋体"/>
                <w:kern w:val="0"/>
                <w:sz w:val="20"/>
                <w:szCs w:val="20"/>
              </w:rPr>
              <w:t>，在职人员数：部门（单位）实际在职人数，以财政</w:t>
            </w:r>
            <w:r>
              <w:rPr>
                <w:rFonts w:hint="eastAsia" w:ascii="仿宋_GB2312" w:hAnsi="宋体"/>
                <w:kern w:val="0"/>
                <w:sz w:val="20"/>
                <w:szCs w:val="20"/>
              </w:rPr>
              <w:t>局确定的部门决算编制口径为准。</w:t>
            </w:r>
            <w:r>
              <w:rPr>
                <w:rFonts w:hint="eastAsia" w:ascii="仿宋_GB2312" w:hAnsi="宋体"/>
                <w:kern w:val="0"/>
                <w:sz w:val="20"/>
                <w:szCs w:val="20"/>
              </w:rPr>
              <w:br w:type="textWrapping"/>
            </w:r>
            <w:r>
              <w:rPr>
                <w:rFonts w:hint="eastAsia" w:ascii="仿宋_GB2312" w:hAnsi="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trHeight w:val="1382" w:hRule="atLeast"/>
          <w:jc w:val="center"/>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olor w:val="000000"/>
                <w:kern w:val="0"/>
                <w:sz w:val="20"/>
                <w:szCs w:val="20"/>
              </w:rPr>
              <w:t>“三公经费”变动率-7%</w:t>
            </w:r>
            <w:r>
              <w:rPr>
                <w:rFonts w:hint="eastAsia" w:ascii="宋体" w:hAnsi="宋体"/>
                <w:color w:val="000000"/>
                <w:kern w:val="0"/>
                <w:sz w:val="20"/>
                <w:szCs w:val="20"/>
              </w:rPr>
              <w:t>以上</w:t>
            </w:r>
            <w:r>
              <w:rPr>
                <w:rFonts w:hint="eastAsia" w:ascii="仿宋_GB2312" w:hAnsi="宋体"/>
                <w:color w:val="000000"/>
                <w:kern w:val="0"/>
                <w:sz w:val="20"/>
                <w:szCs w:val="20"/>
              </w:rPr>
              <w:t>,</w:t>
            </w:r>
            <w:r>
              <w:rPr>
                <w:rFonts w:hint="eastAsia" w:ascii="宋体" w:hAnsi="宋体"/>
                <w:color w:val="000000"/>
                <w:kern w:val="0"/>
                <w:sz w:val="20"/>
                <w:szCs w:val="20"/>
              </w:rPr>
              <w:t>计</w:t>
            </w:r>
            <w:r>
              <w:rPr>
                <w:rFonts w:hint="eastAsia" w:ascii="仿宋_GB2312" w:hAnsi="仿宋_GB2312"/>
                <w:color w:val="000000"/>
                <w:kern w:val="0"/>
                <w:sz w:val="20"/>
                <w:szCs w:val="20"/>
              </w:rPr>
              <w:t>8</w:t>
            </w:r>
            <w:r>
              <w:rPr>
                <w:rFonts w:hint="eastAsia" w:ascii="宋体" w:hAnsi="宋体"/>
                <w:color w:val="000000"/>
                <w:kern w:val="0"/>
                <w:sz w:val="20"/>
                <w:szCs w:val="20"/>
              </w:rPr>
              <w:t>分；“三公经费”变动率</w:t>
            </w:r>
            <w:r>
              <w:rPr>
                <w:rFonts w:hint="eastAsia"/>
                <w:color w:val="000000"/>
                <w:kern w:val="0"/>
                <w:sz w:val="20"/>
                <w:szCs w:val="20"/>
              </w:rPr>
              <w:t>&gt;</w:t>
            </w:r>
            <w:r>
              <w:rPr>
                <w:rFonts w:hint="eastAsia" w:ascii="仿宋_GB2312" w:hAnsi="宋体"/>
                <w:color w:val="000000"/>
                <w:kern w:val="0"/>
                <w:sz w:val="20"/>
                <w:szCs w:val="20"/>
              </w:rPr>
              <w:t>-7%，每超过一个百分点扣</w:t>
            </w:r>
            <w:r>
              <w:rPr>
                <w:rFonts w:hint="eastAsia" w:ascii="仿宋_GB2312" w:hAnsi="仿宋_GB2312"/>
                <w:color w:val="000000"/>
                <w:kern w:val="0"/>
                <w:sz w:val="20"/>
                <w:szCs w:val="20"/>
              </w:rPr>
              <w:t>0.8</w:t>
            </w:r>
            <w:r>
              <w:rPr>
                <w:rFonts w:hint="eastAsia" w:ascii="宋体" w:hAnsi="宋体"/>
                <w:color w:val="000000"/>
                <w:kern w:val="0"/>
                <w:sz w:val="20"/>
                <w:szCs w:val="20"/>
              </w:rPr>
              <w:t>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“三公经费”变动率</w:t>
            </w:r>
            <w:r>
              <w:rPr>
                <w:rFonts w:hint="eastAsia" w:ascii="仿宋_GB2312" w:hAnsi="仿宋_GB2312"/>
                <w:kern w:val="0"/>
                <w:sz w:val="20"/>
                <w:szCs w:val="20"/>
              </w:rPr>
              <w:t>=[</w:t>
            </w:r>
            <w:r>
              <w:rPr>
                <w:rFonts w:hint="eastAsia" w:ascii="宋体" w:hAnsi="宋体"/>
                <w:kern w:val="0"/>
                <w:sz w:val="20"/>
                <w:szCs w:val="20"/>
              </w:rPr>
              <w:t>（本年度“三公经费”预算数</w:t>
            </w:r>
            <w:r>
              <w:rPr>
                <w:rFonts w:hint="eastAsia" w:ascii="仿宋_GB2312" w:hAnsi="仿宋_GB2312"/>
                <w:kern w:val="0"/>
                <w:sz w:val="20"/>
                <w:szCs w:val="20"/>
              </w:rPr>
              <w:t>-</w:t>
            </w:r>
            <w:r>
              <w:rPr>
                <w:rFonts w:hint="eastAsia" w:ascii="宋体" w:hAnsi="宋体"/>
                <w:kern w:val="0"/>
                <w:sz w:val="20"/>
                <w:szCs w:val="20"/>
              </w:rPr>
              <w:t>上年度“三公经费”预算数）</w:t>
            </w:r>
            <w:r>
              <w:rPr>
                <w:rFonts w:hint="eastAsia" w:ascii="仿宋_GB2312" w:hAnsi="仿宋_GB2312"/>
                <w:kern w:val="0"/>
                <w:sz w:val="20"/>
                <w:szCs w:val="20"/>
              </w:rPr>
              <w:t>/</w:t>
            </w:r>
            <w:r>
              <w:rPr>
                <w:rFonts w:hint="eastAsia" w:ascii="宋体" w:hAnsi="宋体"/>
                <w:kern w:val="0"/>
                <w:sz w:val="20"/>
                <w:szCs w:val="20"/>
              </w:rPr>
              <w:t>上年度“三公经费”预算数</w:t>
            </w:r>
            <w:r>
              <w:rPr>
                <w:rFonts w:hint="eastAsia" w:ascii="仿宋_GB2312" w:hAnsi="仿宋_GB2312"/>
                <w:kern w:val="0"/>
                <w:sz w:val="20"/>
                <w:szCs w:val="20"/>
              </w:rPr>
              <w:t>]</w:t>
            </w:r>
            <w:r>
              <w:rPr>
                <w:rFonts w:hint="eastAsia" w:ascii="宋体" w:hAnsi="宋体"/>
                <w:kern w:val="0"/>
                <w:sz w:val="20"/>
                <w:szCs w:val="20"/>
              </w:rPr>
              <w:t>×</w:t>
            </w:r>
            <w:r>
              <w:rPr>
                <w:rFonts w:hint="eastAsia" w:ascii="仿宋_GB2312" w:hAnsi="仿宋_GB2312"/>
                <w:kern w:val="0"/>
                <w:sz w:val="20"/>
                <w:szCs w:val="20"/>
              </w:rPr>
              <w:t>100%</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8</w:t>
            </w:r>
          </w:p>
        </w:tc>
      </w:tr>
      <w:tr>
        <w:tblPrEx>
          <w:tblCellMar>
            <w:top w:w="0" w:type="dxa"/>
            <w:left w:w="108" w:type="dxa"/>
            <w:bottom w:w="0" w:type="dxa"/>
            <w:right w:w="108" w:type="dxa"/>
          </w:tblCellMar>
        </w:tblPrEx>
        <w:trPr>
          <w:trHeight w:val="1136" w:hRule="atLeast"/>
          <w:jc w:val="center"/>
        </w:trPr>
        <w:tc>
          <w:tcPr>
            <w:tcW w:w="57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过                                                                                                                                       程</w:t>
            </w:r>
          </w:p>
        </w:tc>
        <w:tc>
          <w:tcPr>
            <w:tcW w:w="458" w:type="dxa"/>
            <w:vMerge w:val="restart"/>
            <w:tcBorders>
              <w:top w:val="single" w:color="000000"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61</w:t>
            </w:r>
          </w:p>
        </w:tc>
        <w:tc>
          <w:tcPr>
            <w:tcW w:w="700" w:type="dxa"/>
            <w:vMerge w:val="restart"/>
            <w:tcBorders>
              <w:top w:val="nil"/>
              <w:left w:val="nil"/>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预算执行</w:t>
            </w:r>
          </w:p>
        </w:tc>
        <w:tc>
          <w:tcPr>
            <w:tcW w:w="613"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20</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100%</w:t>
            </w:r>
            <w:r>
              <w:rPr>
                <w:rFonts w:hint="eastAsia" w:ascii="宋体" w:hAnsi="宋体"/>
                <w:kern w:val="0"/>
                <w:sz w:val="20"/>
                <w:szCs w:val="20"/>
              </w:rPr>
              <w:t>计满分，每低于</w:t>
            </w:r>
            <w:r>
              <w:rPr>
                <w:rFonts w:hint="eastAsia" w:ascii="仿宋_GB2312" w:hAnsi="仿宋_GB2312"/>
                <w:kern w:val="0"/>
                <w:sz w:val="20"/>
                <w:szCs w:val="20"/>
              </w:rPr>
              <w:t>5%</w:t>
            </w:r>
            <w:r>
              <w:rPr>
                <w:rFonts w:hint="eastAsia" w:ascii="宋体" w:hAnsi="宋体"/>
                <w:kern w:val="0"/>
                <w:sz w:val="20"/>
                <w:szCs w:val="20"/>
              </w:rPr>
              <w:t>扣</w:t>
            </w:r>
            <w:r>
              <w:rPr>
                <w:rFonts w:hint="eastAsia" w:ascii="仿宋_GB2312" w:hAnsi="仿宋_GB2312"/>
                <w:kern w:val="0"/>
                <w:sz w:val="20"/>
                <w:szCs w:val="20"/>
              </w:rPr>
              <w:t>2</w:t>
            </w:r>
            <w:r>
              <w:rPr>
                <w:rFonts w:hint="eastAsia" w:ascii="宋体" w:hAnsi="宋体"/>
                <w:kern w:val="0"/>
                <w:sz w:val="20"/>
                <w:szCs w:val="20"/>
              </w:rPr>
              <w:t>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预算完成率</w:t>
            </w:r>
            <w:r>
              <w:rPr>
                <w:rFonts w:hint="eastAsia" w:ascii="仿宋_GB2312" w:hAnsi="仿宋_GB2312"/>
                <w:kern w:val="0"/>
                <w:sz w:val="20"/>
                <w:szCs w:val="20"/>
              </w:rPr>
              <w:t>=</w:t>
            </w:r>
            <w:r>
              <w:rPr>
                <w:rFonts w:hint="eastAsia" w:ascii="宋体" w:hAnsi="宋体"/>
                <w:kern w:val="0"/>
                <w:sz w:val="20"/>
                <w:szCs w:val="20"/>
              </w:rPr>
              <w:t>（上年结转</w:t>
            </w:r>
            <w:r>
              <w:rPr>
                <w:rFonts w:hint="eastAsia" w:ascii="仿宋_GB2312" w:hAnsi="仿宋_GB2312"/>
                <w:kern w:val="0"/>
                <w:sz w:val="20"/>
                <w:szCs w:val="20"/>
              </w:rPr>
              <w:t>+</w:t>
            </w:r>
            <w:r>
              <w:rPr>
                <w:rFonts w:hint="eastAsia" w:ascii="宋体" w:hAnsi="宋体"/>
                <w:kern w:val="0"/>
                <w:sz w:val="20"/>
                <w:szCs w:val="20"/>
              </w:rPr>
              <w:t>年初预算</w:t>
            </w:r>
            <w:r>
              <w:rPr>
                <w:rFonts w:hint="eastAsia" w:ascii="仿宋_GB2312" w:hAnsi="仿宋_GB2312"/>
                <w:kern w:val="0"/>
                <w:sz w:val="20"/>
                <w:szCs w:val="20"/>
              </w:rPr>
              <w:t>+</w:t>
            </w:r>
            <w:r>
              <w:rPr>
                <w:rFonts w:hint="eastAsia" w:ascii="宋体" w:hAnsi="宋体"/>
                <w:kern w:val="0"/>
                <w:sz w:val="20"/>
                <w:szCs w:val="20"/>
              </w:rPr>
              <w:t>本年追加预算</w:t>
            </w:r>
            <w:r>
              <w:rPr>
                <w:rFonts w:hint="eastAsia" w:ascii="仿宋_GB2312" w:hAnsi="仿宋_GB2312"/>
                <w:kern w:val="0"/>
                <w:sz w:val="20"/>
                <w:szCs w:val="20"/>
              </w:rPr>
              <w:t>-</w:t>
            </w:r>
            <w:r>
              <w:rPr>
                <w:rFonts w:hint="eastAsia" w:ascii="宋体" w:hAnsi="宋体"/>
                <w:kern w:val="0"/>
                <w:sz w:val="20"/>
                <w:szCs w:val="20"/>
              </w:rPr>
              <w:t>年末结余）</w:t>
            </w:r>
            <w:r>
              <w:rPr>
                <w:rFonts w:hint="eastAsia" w:ascii="仿宋_GB2312" w:hAnsi="仿宋_GB2312"/>
                <w:kern w:val="0"/>
                <w:sz w:val="20"/>
                <w:szCs w:val="20"/>
              </w:rPr>
              <w:t>/</w:t>
            </w:r>
            <w:r>
              <w:rPr>
                <w:rFonts w:hint="eastAsia" w:ascii="宋体" w:hAnsi="宋体"/>
                <w:kern w:val="0"/>
                <w:sz w:val="20"/>
                <w:szCs w:val="20"/>
              </w:rPr>
              <w:t>（上年结转</w:t>
            </w:r>
            <w:r>
              <w:rPr>
                <w:rFonts w:hint="eastAsia" w:ascii="仿宋_GB2312" w:hAnsi="仿宋_GB2312"/>
                <w:kern w:val="0"/>
                <w:sz w:val="20"/>
                <w:szCs w:val="20"/>
              </w:rPr>
              <w:t>+</w:t>
            </w:r>
            <w:r>
              <w:rPr>
                <w:rFonts w:hint="eastAsia" w:ascii="宋体" w:hAnsi="宋体"/>
                <w:kern w:val="0"/>
                <w:sz w:val="20"/>
                <w:szCs w:val="20"/>
              </w:rPr>
              <w:t>年初预算</w:t>
            </w:r>
            <w:r>
              <w:rPr>
                <w:rFonts w:hint="eastAsia" w:ascii="仿宋_GB2312" w:hAnsi="仿宋_GB2312"/>
                <w:kern w:val="0"/>
                <w:sz w:val="20"/>
                <w:szCs w:val="20"/>
              </w:rPr>
              <w:t>+</w:t>
            </w:r>
            <w:r>
              <w:rPr>
                <w:rFonts w:hint="eastAsia" w:ascii="宋体" w:hAnsi="宋体"/>
                <w:kern w:val="0"/>
                <w:sz w:val="20"/>
                <w:szCs w:val="20"/>
              </w:rPr>
              <w:t>本年追加预算）×</w:t>
            </w:r>
            <w:r>
              <w:rPr>
                <w:rFonts w:hint="eastAsia" w:ascii="仿宋_GB2312" w:hAnsi="仿宋_GB2312"/>
                <w:kern w:val="0"/>
                <w:sz w:val="20"/>
                <w:szCs w:val="20"/>
              </w:rPr>
              <w:t>100%</w:t>
            </w:r>
            <w:r>
              <w:rPr>
                <w:rFonts w:hint="eastAsia" w:ascii="宋体" w:hAnsi="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trHeight w:val="1190"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预算控制率</w:t>
            </w:r>
            <w:r>
              <w:rPr>
                <w:rFonts w:hint="eastAsia" w:ascii="仿宋_GB2312" w:hAnsi="仿宋_GB2312"/>
                <w:kern w:val="0"/>
                <w:sz w:val="20"/>
                <w:szCs w:val="20"/>
              </w:rPr>
              <w:t>=0</w:t>
            </w:r>
            <w:r>
              <w:rPr>
                <w:rFonts w:hint="eastAsia" w:ascii="宋体" w:hAnsi="宋体"/>
                <w:kern w:val="0"/>
                <w:sz w:val="20"/>
                <w:szCs w:val="20"/>
              </w:rPr>
              <w:t>，计</w:t>
            </w:r>
            <w:r>
              <w:rPr>
                <w:rFonts w:hint="eastAsia" w:ascii="仿宋_GB2312" w:hAnsi="仿宋_GB2312"/>
                <w:kern w:val="0"/>
                <w:sz w:val="20"/>
                <w:szCs w:val="20"/>
              </w:rPr>
              <w:t>5</w:t>
            </w:r>
            <w:r>
              <w:rPr>
                <w:rFonts w:hint="eastAsia" w:ascii="宋体" w:hAnsi="宋体"/>
                <w:kern w:val="0"/>
                <w:sz w:val="20"/>
                <w:szCs w:val="20"/>
              </w:rPr>
              <w:t>分；</w:t>
            </w:r>
            <w:r>
              <w:rPr>
                <w:rFonts w:hint="eastAsia" w:ascii="仿宋_GB2312" w:hAnsi="仿宋_GB2312"/>
                <w:kern w:val="0"/>
                <w:sz w:val="20"/>
                <w:szCs w:val="20"/>
              </w:rPr>
              <w:t>0-10%</w:t>
            </w:r>
            <w:r>
              <w:rPr>
                <w:rFonts w:hint="eastAsia" w:ascii="宋体" w:hAnsi="宋体"/>
                <w:kern w:val="0"/>
                <w:sz w:val="20"/>
                <w:szCs w:val="20"/>
              </w:rPr>
              <w:t>（含），计</w:t>
            </w:r>
            <w:r>
              <w:rPr>
                <w:rFonts w:hint="eastAsia" w:ascii="仿宋_GB2312" w:hAnsi="仿宋_GB2312"/>
                <w:kern w:val="0"/>
                <w:sz w:val="20"/>
                <w:szCs w:val="20"/>
              </w:rPr>
              <w:t>4</w:t>
            </w:r>
            <w:r>
              <w:rPr>
                <w:rFonts w:hint="eastAsia" w:ascii="宋体" w:hAnsi="宋体"/>
                <w:kern w:val="0"/>
                <w:sz w:val="20"/>
                <w:szCs w:val="20"/>
              </w:rPr>
              <w:t>分；</w:t>
            </w:r>
            <w:r>
              <w:rPr>
                <w:rFonts w:hint="eastAsia" w:ascii="仿宋_GB2312" w:hAnsi="仿宋_GB2312"/>
                <w:kern w:val="0"/>
                <w:sz w:val="20"/>
                <w:szCs w:val="20"/>
              </w:rPr>
              <w:t>10-20%</w:t>
            </w:r>
            <w:r>
              <w:rPr>
                <w:rFonts w:hint="eastAsia" w:ascii="宋体" w:hAnsi="宋体"/>
                <w:kern w:val="0"/>
                <w:sz w:val="20"/>
                <w:szCs w:val="20"/>
              </w:rPr>
              <w:t>（含），计</w:t>
            </w:r>
            <w:r>
              <w:rPr>
                <w:rFonts w:hint="eastAsia" w:ascii="仿宋_GB2312" w:hAnsi="仿宋_GB2312"/>
                <w:kern w:val="0"/>
                <w:sz w:val="20"/>
                <w:szCs w:val="20"/>
              </w:rPr>
              <w:t>3</w:t>
            </w:r>
            <w:r>
              <w:rPr>
                <w:rFonts w:hint="eastAsia" w:ascii="宋体" w:hAnsi="宋体"/>
                <w:kern w:val="0"/>
                <w:sz w:val="20"/>
                <w:szCs w:val="20"/>
              </w:rPr>
              <w:t>分；</w:t>
            </w:r>
            <w:r>
              <w:rPr>
                <w:rFonts w:hint="eastAsia" w:ascii="仿宋_GB2312" w:hAnsi="仿宋_GB2312"/>
                <w:kern w:val="0"/>
                <w:sz w:val="20"/>
                <w:szCs w:val="20"/>
              </w:rPr>
              <w:t>20-30%</w:t>
            </w:r>
            <w:r>
              <w:rPr>
                <w:rFonts w:hint="eastAsia" w:ascii="宋体" w:hAnsi="宋体"/>
                <w:kern w:val="0"/>
                <w:sz w:val="20"/>
                <w:szCs w:val="20"/>
              </w:rPr>
              <w:t>（含），计</w:t>
            </w:r>
            <w:r>
              <w:rPr>
                <w:rFonts w:hint="eastAsia" w:ascii="仿宋_GB2312" w:hAnsi="仿宋_GB2312"/>
                <w:kern w:val="0"/>
                <w:sz w:val="20"/>
                <w:szCs w:val="20"/>
              </w:rPr>
              <w:t>2</w:t>
            </w:r>
            <w:r>
              <w:rPr>
                <w:rFonts w:hint="eastAsia" w:ascii="宋体" w:hAnsi="宋体"/>
                <w:kern w:val="0"/>
                <w:sz w:val="20"/>
                <w:szCs w:val="20"/>
              </w:rPr>
              <w:t>分；大于</w:t>
            </w:r>
            <w:r>
              <w:rPr>
                <w:rFonts w:hint="eastAsia" w:ascii="仿宋_GB2312" w:hAnsi="仿宋_GB2312"/>
                <w:kern w:val="0"/>
                <w:sz w:val="20"/>
                <w:szCs w:val="20"/>
              </w:rPr>
              <w:t>30%</w:t>
            </w:r>
            <w:r>
              <w:rPr>
                <w:rFonts w:hint="eastAsia" w:ascii="宋体" w:hAnsi="宋体"/>
                <w:kern w:val="0"/>
                <w:sz w:val="20"/>
                <w:szCs w:val="20"/>
              </w:rPr>
              <w:t>不得分。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预算控制率</w:t>
            </w:r>
            <w:r>
              <w:rPr>
                <w:rFonts w:hint="eastAsia" w:ascii="仿宋_GB2312" w:hAnsi="仿宋_GB2312"/>
                <w:kern w:val="0"/>
                <w:sz w:val="20"/>
                <w:szCs w:val="20"/>
              </w:rPr>
              <w:t>=</w:t>
            </w:r>
            <w:r>
              <w:rPr>
                <w:rFonts w:hint="eastAsia" w:ascii="宋体" w:hAnsi="宋体"/>
                <w:kern w:val="0"/>
                <w:sz w:val="20"/>
                <w:szCs w:val="20"/>
              </w:rPr>
              <w:t>（本年追加预算</w:t>
            </w:r>
            <w:r>
              <w:rPr>
                <w:rFonts w:hint="eastAsia" w:ascii="仿宋_GB2312" w:hAnsi="仿宋_GB2312"/>
                <w:kern w:val="0"/>
                <w:sz w:val="20"/>
                <w:szCs w:val="20"/>
              </w:rPr>
              <w:t>/</w:t>
            </w:r>
            <w:r>
              <w:rPr>
                <w:rFonts w:hint="eastAsia" w:ascii="宋体" w:hAnsi="宋体"/>
                <w:kern w:val="0"/>
                <w:sz w:val="20"/>
                <w:szCs w:val="20"/>
              </w:rPr>
              <w:t>年初预算）×</w:t>
            </w:r>
            <w:r>
              <w:rPr>
                <w:rFonts w:hint="eastAsia" w:ascii="仿宋_GB2312" w:hAnsi="仿宋_GB2312"/>
                <w:kern w:val="0"/>
                <w:sz w:val="20"/>
                <w:szCs w:val="20"/>
              </w:rPr>
              <w:t>100%</w:t>
            </w:r>
            <w:r>
              <w:rPr>
                <w:rFonts w:hint="eastAsia" w:ascii="宋体" w:hAnsi="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trHeight w:val="1119"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13" w:type="dxa"/>
            <w:tcBorders>
              <w:top w:val="single" w:color="auto" w:sz="4" w:space="0"/>
              <w:left w:val="nil"/>
              <w:bottom w:val="single" w:color="auto" w:sz="4" w:space="0"/>
              <w:right w:val="single" w:color="auto" w:sz="4" w:space="0"/>
            </w:tcBorders>
            <w:vAlign w:val="center"/>
          </w:tcPr>
          <w:p>
            <w:pPr>
              <w:jc w:val="center"/>
              <w:rPr>
                <w:rFonts w:ascii="仿宋_GB2312" w:hAnsi="宋体"/>
                <w:color w:val="000000"/>
                <w:kern w:val="0"/>
                <w:sz w:val="20"/>
                <w:szCs w:val="20"/>
              </w:rPr>
            </w:pPr>
            <w:r>
              <w:rPr>
                <w:rFonts w:ascii="Times New Roman" w:hAnsi="Times New Roman"/>
                <w:color w:val="000000"/>
                <w:sz w:val="18"/>
                <w:szCs w:val="18"/>
              </w:rPr>
              <w:t>结转结余变动率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5</w:t>
            </w:r>
          </w:p>
        </w:tc>
        <w:tc>
          <w:tcPr>
            <w:tcW w:w="2818" w:type="dxa"/>
            <w:tcBorders>
              <w:top w:val="single" w:color="auto" w:sz="4" w:space="0"/>
              <w:left w:val="nil"/>
              <w:bottom w:val="single" w:color="auto" w:sz="4" w:space="0"/>
              <w:right w:val="single" w:color="auto" w:sz="4" w:space="0"/>
            </w:tcBorders>
            <w:vAlign w:val="center"/>
          </w:tcPr>
          <w:p>
            <w:pPr>
              <w:rPr>
                <w:rFonts w:ascii="仿宋_GB2312" w:hAnsi="宋体"/>
                <w:color w:val="000000"/>
                <w:kern w:val="0"/>
                <w:sz w:val="20"/>
                <w:szCs w:val="20"/>
              </w:rPr>
            </w:pPr>
            <w:r>
              <w:rPr>
                <w:rFonts w:ascii="Times New Roman" w:hAnsi="Times New Roman"/>
                <w:color w:val="000000"/>
                <w:sz w:val="18"/>
                <w:szCs w:val="18"/>
              </w:rPr>
              <w:t>结转结余</w:t>
            </w:r>
            <w:r>
              <w:rPr>
                <w:rFonts w:hint="eastAsia" w:ascii="仿宋_GB2312" w:hAnsi="宋体"/>
                <w:color w:val="000000"/>
                <w:kern w:val="0"/>
                <w:sz w:val="20"/>
                <w:szCs w:val="20"/>
              </w:rPr>
              <w:t>变动率≦</w:t>
            </w:r>
            <w:r>
              <w:rPr>
                <w:rFonts w:hint="eastAsia" w:ascii="仿宋_GB2312" w:hAnsi="仿宋_GB2312"/>
                <w:color w:val="000000"/>
                <w:kern w:val="0"/>
                <w:sz w:val="20"/>
                <w:szCs w:val="20"/>
              </w:rPr>
              <w:t>0,</w:t>
            </w:r>
            <w:r>
              <w:rPr>
                <w:rFonts w:hint="eastAsia" w:ascii="宋体" w:hAnsi="宋体"/>
                <w:color w:val="000000"/>
                <w:kern w:val="0"/>
                <w:sz w:val="20"/>
                <w:szCs w:val="20"/>
              </w:rPr>
              <w:t>计</w:t>
            </w:r>
            <w:r>
              <w:rPr>
                <w:rFonts w:hint="eastAsia" w:ascii="仿宋_GB2312" w:hAnsi="宋体"/>
                <w:color w:val="000000"/>
                <w:kern w:val="0"/>
                <w:sz w:val="20"/>
                <w:szCs w:val="20"/>
              </w:rPr>
              <w:t>5分；</w:t>
            </w:r>
            <w:r>
              <w:rPr>
                <w:rFonts w:ascii="Times New Roman" w:hAnsi="Times New Roman"/>
                <w:color w:val="000000"/>
                <w:sz w:val="18"/>
                <w:szCs w:val="18"/>
              </w:rPr>
              <w:t>结转结余</w:t>
            </w:r>
            <w:r>
              <w:rPr>
                <w:rFonts w:hint="eastAsia" w:ascii="仿宋_GB2312" w:hAnsi="宋体"/>
                <w:color w:val="000000"/>
                <w:kern w:val="0"/>
                <w:sz w:val="20"/>
                <w:szCs w:val="20"/>
              </w:rPr>
              <w:t>变动率＞</w:t>
            </w:r>
            <w:r>
              <w:rPr>
                <w:rFonts w:hint="eastAsia" w:ascii="仿宋_GB2312" w:hAnsi="仿宋_GB2312"/>
                <w:color w:val="000000"/>
                <w:kern w:val="0"/>
                <w:sz w:val="20"/>
                <w:szCs w:val="20"/>
              </w:rPr>
              <w:t>0</w:t>
            </w:r>
            <w:r>
              <w:rPr>
                <w:rFonts w:hint="eastAsia" w:ascii="宋体" w:hAnsi="宋体"/>
                <w:color w:val="000000"/>
                <w:kern w:val="0"/>
                <w:sz w:val="20"/>
                <w:szCs w:val="20"/>
              </w:rPr>
              <w:t>，每超过一个百分点扣</w:t>
            </w:r>
            <w:r>
              <w:rPr>
                <w:rFonts w:hint="eastAsia" w:ascii="仿宋_GB2312" w:hAnsi="仿宋_GB2312"/>
                <w:color w:val="000000"/>
                <w:kern w:val="0"/>
                <w:sz w:val="20"/>
                <w:szCs w:val="20"/>
              </w:rPr>
              <w:t>0.</w:t>
            </w:r>
            <w:r>
              <w:rPr>
                <w:rFonts w:hint="eastAsia" w:ascii="仿宋_GB2312" w:hAnsi="宋体"/>
                <w:color w:val="000000"/>
                <w:kern w:val="0"/>
                <w:sz w:val="20"/>
                <w:szCs w:val="20"/>
              </w:rPr>
              <w:t>5分，扣完为止。</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olor w:val="000000"/>
                <w:kern w:val="0"/>
                <w:sz w:val="20"/>
                <w:szCs w:val="20"/>
              </w:rPr>
            </w:pPr>
            <w:r>
              <w:rPr>
                <w:rFonts w:ascii="Times New Roman" w:hAnsi="Times New Roman"/>
                <w:color w:val="000000"/>
                <w:sz w:val="18"/>
                <w:szCs w:val="18"/>
              </w:rPr>
              <w:t>结转结余变动率=[</w:t>
            </w:r>
            <w:r>
              <w:rPr>
                <w:rFonts w:ascii="宋体" w:hAnsi="宋体"/>
                <w:color w:val="000000"/>
                <w:sz w:val="18"/>
                <w:szCs w:val="18"/>
              </w:rPr>
              <w:t>（本年度累计结转结余资金总额</w:t>
            </w:r>
            <w:r>
              <w:rPr>
                <w:rFonts w:ascii="Times New Roman" w:hAnsi="Times New Roman"/>
                <w:color w:val="000000"/>
                <w:sz w:val="18"/>
                <w:szCs w:val="18"/>
              </w:rPr>
              <w:t>-</w:t>
            </w:r>
            <w:r>
              <w:rPr>
                <w:rFonts w:ascii="宋体" w:hAnsi="宋体"/>
                <w:color w:val="000000"/>
                <w:sz w:val="18"/>
                <w:szCs w:val="18"/>
              </w:rPr>
              <w:t>上年度累计结转结余资金总额）</w:t>
            </w:r>
            <w:r>
              <w:rPr>
                <w:rFonts w:ascii="Times New Roman" w:hAnsi="Times New Roman"/>
                <w:color w:val="000000"/>
                <w:sz w:val="18"/>
                <w:szCs w:val="18"/>
              </w:rPr>
              <w:t>/</w:t>
            </w:r>
            <w:r>
              <w:rPr>
                <w:rFonts w:ascii="宋体" w:hAnsi="宋体"/>
                <w:color w:val="000000"/>
                <w:sz w:val="18"/>
                <w:szCs w:val="18"/>
              </w:rPr>
              <w:t>上年度累计结转结余资金总额</w:t>
            </w:r>
            <w:r>
              <w:rPr>
                <w:rFonts w:ascii="Times New Roman" w:hAnsi="Times New Roman"/>
                <w:color w:val="000000"/>
                <w:sz w:val="18"/>
                <w:szCs w:val="18"/>
              </w:rPr>
              <w:t>]×100%</w:t>
            </w:r>
            <w:r>
              <w:rPr>
                <w:rFonts w:ascii="宋体" w:hAnsi="宋体"/>
                <w:color w:val="000000"/>
                <w:sz w:val="18"/>
                <w:szCs w:val="18"/>
              </w:rPr>
              <w:t>。</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color w:val="000000"/>
                <w:kern w:val="0"/>
                <w:sz w:val="20"/>
                <w:szCs w:val="20"/>
              </w:rPr>
            </w:pPr>
            <w:r>
              <w:rPr>
                <w:rFonts w:hint="eastAsia" w:ascii="仿宋_GB2312" w:hAnsi="宋体"/>
                <w:color w:val="000000"/>
                <w:kern w:val="0"/>
                <w:sz w:val="20"/>
                <w:szCs w:val="20"/>
              </w:rPr>
              <w:t>4</w:t>
            </w:r>
          </w:p>
        </w:tc>
      </w:tr>
      <w:tr>
        <w:tblPrEx>
          <w:tblCellMar>
            <w:top w:w="0" w:type="dxa"/>
            <w:left w:w="108" w:type="dxa"/>
            <w:bottom w:w="0" w:type="dxa"/>
            <w:right w:w="108" w:type="dxa"/>
          </w:tblCellMar>
        </w:tblPrEx>
        <w:trPr>
          <w:trHeight w:val="1269"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新建楼堂馆所面积控制率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5</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100%</w:t>
            </w:r>
            <w:r>
              <w:rPr>
                <w:rFonts w:hint="eastAsia" w:ascii="宋体" w:hAnsi="宋体"/>
                <w:kern w:val="0"/>
                <w:sz w:val="20"/>
                <w:szCs w:val="20"/>
              </w:rPr>
              <w:t>以下（含）计满分，每超出</w:t>
            </w:r>
            <w:r>
              <w:rPr>
                <w:rFonts w:hint="eastAsia" w:ascii="仿宋_GB2312" w:hAnsi="仿宋_GB2312"/>
                <w:kern w:val="0"/>
                <w:sz w:val="20"/>
                <w:szCs w:val="20"/>
              </w:rPr>
              <w:t>5%</w:t>
            </w:r>
            <w:r>
              <w:rPr>
                <w:rFonts w:hint="eastAsia" w:ascii="宋体" w:hAnsi="宋体"/>
                <w:kern w:val="0"/>
                <w:sz w:val="20"/>
                <w:szCs w:val="20"/>
              </w:rPr>
              <w:t>扣</w:t>
            </w:r>
            <w:r>
              <w:rPr>
                <w:rFonts w:hint="eastAsia" w:ascii="仿宋_GB2312" w:hAnsi="仿宋_GB2312"/>
                <w:kern w:val="0"/>
                <w:sz w:val="20"/>
                <w:szCs w:val="20"/>
              </w:rPr>
              <w:t>2</w:t>
            </w:r>
            <w:r>
              <w:rPr>
                <w:rFonts w:hint="eastAsia" w:ascii="宋体" w:hAnsi="宋体"/>
                <w:kern w:val="0"/>
                <w:sz w:val="20"/>
                <w:szCs w:val="20"/>
              </w:rPr>
              <w:t>分，扣完为止。没有楼堂馆所项目的部门按满分计算。</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楼堂馆所面积控制率</w:t>
            </w:r>
            <w:r>
              <w:rPr>
                <w:rFonts w:hint="eastAsia" w:ascii="仿宋_GB2312" w:hAnsi="仿宋_GB2312"/>
                <w:kern w:val="0"/>
                <w:sz w:val="20"/>
                <w:szCs w:val="20"/>
              </w:rPr>
              <w:t>=</w:t>
            </w:r>
            <w:r>
              <w:rPr>
                <w:rFonts w:hint="eastAsia" w:ascii="宋体" w:hAnsi="宋体"/>
                <w:kern w:val="0"/>
                <w:sz w:val="20"/>
                <w:szCs w:val="20"/>
              </w:rPr>
              <w:t>实际建设面积</w:t>
            </w:r>
            <w:r>
              <w:rPr>
                <w:rFonts w:hint="eastAsia" w:ascii="仿宋_GB2312" w:hAnsi="仿宋_GB2312"/>
                <w:kern w:val="0"/>
                <w:sz w:val="20"/>
                <w:szCs w:val="20"/>
              </w:rPr>
              <w:t>/</w:t>
            </w:r>
            <w:r>
              <w:rPr>
                <w:rFonts w:hint="eastAsia" w:ascii="宋体" w:hAnsi="宋体"/>
                <w:kern w:val="0"/>
                <w:sz w:val="20"/>
                <w:szCs w:val="20"/>
              </w:rPr>
              <w:t>批准建设面积×</w:t>
            </w:r>
            <w:r>
              <w:rPr>
                <w:rFonts w:hint="eastAsia" w:ascii="仿宋_GB2312" w:hAnsi="仿宋_GB2312"/>
                <w:kern w:val="0"/>
                <w:sz w:val="20"/>
                <w:szCs w:val="20"/>
              </w:rPr>
              <w:t xml:space="preserve">100% </w:t>
            </w:r>
            <w:r>
              <w:rPr>
                <w:rFonts w:hint="eastAsia" w:ascii="宋体" w:hAnsi="宋体"/>
                <w:kern w:val="0"/>
                <w:sz w:val="20"/>
                <w:szCs w:val="20"/>
              </w:rPr>
              <w:t>。</w:t>
            </w:r>
            <w:r>
              <w:rPr>
                <w:rFonts w:hint="eastAsia" w:ascii="仿宋_GB2312" w:hAnsi="宋体"/>
                <w:kern w:val="0"/>
                <w:sz w:val="20"/>
                <w:szCs w:val="20"/>
              </w:rPr>
              <w:br w:type="textWrapping"/>
            </w:r>
            <w:r>
              <w:rPr>
                <w:rFonts w:hint="eastAsia" w:ascii="仿宋_GB2312" w:hAnsi="宋体"/>
                <w:kern w:val="0"/>
                <w:sz w:val="20"/>
                <w:szCs w:val="20"/>
              </w:rPr>
              <w:t>该指标以</w:t>
            </w:r>
            <w:r>
              <w:rPr>
                <w:rFonts w:hint="eastAsia" w:ascii="仿宋_GB2312" w:hAnsi="仿宋_GB2312"/>
                <w:kern w:val="0"/>
                <w:sz w:val="20"/>
                <w:szCs w:val="20"/>
              </w:rPr>
              <w:t>201</w:t>
            </w:r>
            <w:r>
              <w:rPr>
                <w:rFonts w:hint="eastAsia" w:ascii="仿宋_GB2312" w:hAnsi="宋体"/>
                <w:kern w:val="0"/>
                <w:sz w:val="20"/>
                <w:szCs w:val="20"/>
              </w:rPr>
              <w:t>9年完工的新建楼堂馆所为评价内容。</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trHeight w:val="1309"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restart"/>
            <w:tcBorders>
              <w:top w:val="nil"/>
              <w:left w:val="nil"/>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预算管理</w:t>
            </w:r>
          </w:p>
        </w:tc>
        <w:tc>
          <w:tcPr>
            <w:tcW w:w="613"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r>
              <w:rPr>
                <w:rFonts w:hint="eastAsia" w:ascii="仿宋_GB2312" w:hAnsi="宋体"/>
                <w:kern w:val="0"/>
                <w:sz w:val="20"/>
                <w:szCs w:val="20"/>
              </w:rPr>
              <w:t>41</w:t>
            </w: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p>
          <w:p>
            <w:pPr>
              <w:widowControl/>
              <w:spacing w:line="260" w:lineRule="exact"/>
              <w:jc w:val="center"/>
              <w:rPr>
                <w:rFonts w:hint="eastAsia" w:ascii="仿宋_GB2312" w:hAnsi="宋体"/>
                <w:kern w:val="0"/>
                <w:sz w:val="20"/>
                <w:szCs w:val="20"/>
              </w:rPr>
            </w:pPr>
            <w:r>
              <w:rPr>
                <w:rFonts w:hint="eastAsia" w:ascii="仿宋_GB2312" w:hAnsi="宋体"/>
                <w:kern w:val="0"/>
                <w:sz w:val="20"/>
                <w:szCs w:val="20"/>
              </w:rPr>
              <w:t>41</w:t>
            </w:r>
          </w:p>
          <w:p>
            <w:pPr>
              <w:widowControl/>
              <w:spacing w:line="260" w:lineRule="exact"/>
              <w:jc w:val="center"/>
              <w:rPr>
                <w:rFonts w:hint="eastAsia" w:ascii="仿宋_GB2312" w:hAnsi="宋体"/>
                <w:kern w:val="0"/>
                <w:sz w:val="20"/>
                <w:szCs w:val="20"/>
              </w:rPr>
            </w:pPr>
          </w:p>
          <w:p>
            <w:pPr>
              <w:widowControl/>
              <w:spacing w:line="260" w:lineRule="exact"/>
              <w:jc w:val="center"/>
              <w:rPr>
                <w:rFonts w:ascii="仿宋_GB2312" w:hAnsi="宋体"/>
                <w:kern w:val="0"/>
                <w:sz w:val="20"/>
                <w:szCs w:val="20"/>
              </w:rPr>
            </w:pP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100%</w:t>
            </w:r>
            <w:r>
              <w:rPr>
                <w:rFonts w:hint="eastAsia" w:ascii="宋体" w:hAnsi="宋体"/>
                <w:kern w:val="0"/>
                <w:sz w:val="20"/>
                <w:szCs w:val="20"/>
              </w:rPr>
              <w:t>以下（含）计满分，每超出</w:t>
            </w:r>
            <w:r>
              <w:rPr>
                <w:rFonts w:hint="eastAsia" w:ascii="仿宋_GB2312" w:hAnsi="仿宋_GB2312"/>
                <w:kern w:val="0"/>
                <w:sz w:val="20"/>
                <w:szCs w:val="20"/>
              </w:rPr>
              <w:t>1%</w:t>
            </w:r>
            <w:r>
              <w:rPr>
                <w:rFonts w:hint="eastAsia" w:ascii="宋体" w:hAnsi="宋体"/>
                <w:kern w:val="0"/>
                <w:sz w:val="20"/>
                <w:szCs w:val="20"/>
              </w:rPr>
              <w:t>扣</w:t>
            </w:r>
            <w:r>
              <w:rPr>
                <w:rFonts w:hint="eastAsia" w:ascii="仿宋_GB2312" w:hAnsi="仿宋_GB2312"/>
                <w:kern w:val="0"/>
                <w:sz w:val="20"/>
                <w:szCs w:val="20"/>
              </w:rPr>
              <w:t>1</w:t>
            </w:r>
            <w:r>
              <w:rPr>
                <w:rFonts w:hint="eastAsia" w:ascii="宋体" w:hAnsi="宋体"/>
                <w:kern w:val="0"/>
                <w:sz w:val="20"/>
                <w:szCs w:val="20"/>
              </w:rPr>
              <w:t>分，扣完为止。</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公用经费控制率</w:t>
            </w:r>
            <w:r>
              <w:rPr>
                <w:rFonts w:hint="eastAsia" w:ascii="仿宋_GB2312" w:hAnsi="仿宋_GB2312"/>
                <w:kern w:val="0"/>
                <w:sz w:val="20"/>
                <w:szCs w:val="20"/>
              </w:rPr>
              <w:t>=</w:t>
            </w:r>
            <w:r>
              <w:rPr>
                <w:rFonts w:hint="eastAsia" w:ascii="宋体" w:hAnsi="宋体"/>
                <w:kern w:val="0"/>
                <w:sz w:val="20"/>
                <w:szCs w:val="20"/>
              </w:rPr>
              <w:t>（实际支出公用经费总额</w:t>
            </w:r>
            <w:r>
              <w:rPr>
                <w:rFonts w:hint="eastAsia" w:ascii="仿宋_GB2312" w:hAnsi="仿宋_GB2312"/>
                <w:kern w:val="0"/>
                <w:sz w:val="20"/>
                <w:szCs w:val="20"/>
              </w:rPr>
              <w:t>/</w:t>
            </w:r>
            <w:r>
              <w:rPr>
                <w:rFonts w:hint="eastAsia" w:ascii="宋体" w:hAnsi="宋体"/>
                <w:kern w:val="0"/>
                <w:sz w:val="20"/>
                <w:szCs w:val="20"/>
              </w:rPr>
              <w:t>预算安排公用经费总额）×</w:t>
            </w:r>
            <w:r>
              <w:rPr>
                <w:rFonts w:hint="eastAsia" w:ascii="仿宋_GB2312" w:hAnsi="仿宋_GB2312"/>
                <w:kern w:val="0"/>
                <w:sz w:val="20"/>
                <w:szCs w:val="20"/>
              </w:rPr>
              <w:t>100%</w:t>
            </w:r>
            <w:r>
              <w:rPr>
                <w:rFonts w:hint="eastAsia" w:ascii="宋体" w:hAnsi="宋体"/>
                <w:kern w:val="0"/>
                <w:sz w:val="20"/>
                <w:szCs w:val="20"/>
              </w:rPr>
              <w:t>。</w:t>
            </w:r>
            <w:r>
              <w:rPr>
                <w:rFonts w:hint="eastAsia" w:ascii="仿宋_GB2312" w:hAnsi="宋体"/>
                <w:kern w:val="0"/>
                <w:sz w:val="20"/>
                <w:szCs w:val="20"/>
              </w:rPr>
              <w:br w:type="textWrapping"/>
            </w:r>
            <w:r>
              <w:rPr>
                <w:rFonts w:hint="eastAsia" w:ascii="仿宋_GB2312" w:hAnsi="宋体"/>
                <w:kern w:val="0"/>
                <w:sz w:val="18"/>
                <w:szCs w:val="18"/>
              </w:rPr>
              <w:t>公用经费支出是指部门基本支出中的一般商品和服务支出。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8</w:t>
            </w:r>
          </w:p>
        </w:tc>
      </w:tr>
      <w:tr>
        <w:tblPrEx>
          <w:tblCellMar>
            <w:top w:w="0" w:type="dxa"/>
            <w:left w:w="108" w:type="dxa"/>
            <w:bottom w:w="0" w:type="dxa"/>
            <w:right w:w="108" w:type="dxa"/>
          </w:tblCellMar>
        </w:tblPrEx>
        <w:trPr>
          <w:trHeight w:val="930"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100%</w:t>
            </w:r>
            <w:r>
              <w:rPr>
                <w:rFonts w:hint="eastAsia" w:ascii="宋体" w:hAnsi="宋体"/>
                <w:kern w:val="0"/>
                <w:sz w:val="20"/>
                <w:szCs w:val="20"/>
              </w:rPr>
              <w:t>以下（含）计满分，每超出</w:t>
            </w:r>
            <w:r>
              <w:rPr>
                <w:rFonts w:hint="eastAsia" w:ascii="仿宋_GB2312" w:hAnsi="仿宋_GB2312"/>
                <w:kern w:val="0"/>
                <w:sz w:val="20"/>
                <w:szCs w:val="20"/>
              </w:rPr>
              <w:t>1%</w:t>
            </w:r>
            <w:r>
              <w:rPr>
                <w:rFonts w:hint="eastAsia" w:ascii="宋体" w:hAnsi="宋体"/>
                <w:kern w:val="0"/>
                <w:sz w:val="20"/>
                <w:szCs w:val="20"/>
              </w:rPr>
              <w:t>扣</w:t>
            </w:r>
            <w:r>
              <w:rPr>
                <w:rFonts w:hint="eastAsia" w:ascii="仿宋_GB2312" w:hAnsi="仿宋_GB2312"/>
                <w:kern w:val="0"/>
                <w:sz w:val="20"/>
                <w:szCs w:val="20"/>
              </w:rPr>
              <w:t>1</w:t>
            </w:r>
            <w:r>
              <w:rPr>
                <w:rFonts w:hint="eastAsia" w:ascii="宋体" w:hAnsi="宋体"/>
                <w:kern w:val="0"/>
                <w:sz w:val="20"/>
                <w:szCs w:val="20"/>
              </w:rPr>
              <w:t>分，扣完为止。</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18"/>
                <w:szCs w:val="18"/>
              </w:rPr>
            </w:pPr>
            <w:r>
              <w:rPr>
                <w:rFonts w:hint="eastAsia" w:ascii="仿宋_GB2312" w:hAnsi="宋体"/>
                <w:kern w:val="0"/>
                <w:sz w:val="18"/>
                <w:szCs w:val="18"/>
              </w:rPr>
              <w:t>“三公经费”控制率</w:t>
            </w:r>
            <w:r>
              <w:rPr>
                <w:rFonts w:hint="eastAsia" w:ascii="仿宋_GB2312" w:hAnsi="仿宋_GB2312"/>
                <w:kern w:val="0"/>
                <w:sz w:val="18"/>
                <w:szCs w:val="18"/>
              </w:rPr>
              <w:t>-</w:t>
            </w:r>
            <w:r>
              <w:rPr>
                <w:rFonts w:hint="eastAsia" w:ascii="宋体" w:hAnsi="宋体"/>
                <w:kern w:val="0"/>
                <w:sz w:val="18"/>
                <w:szCs w:val="18"/>
              </w:rPr>
              <w:t>（“三公经费”实际支出数</w:t>
            </w:r>
            <w:r>
              <w:rPr>
                <w:rFonts w:hint="eastAsia" w:ascii="仿宋_GB2312" w:hAnsi="仿宋_GB2312"/>
                <w:kern w:val="0"/>
                <w:sz w:val="18"/>
                <w:szCs w:val="18"/>
              </w:rPr>
              <w:t>/</w:t>
            </w:r>
            <w:r>
              <w:rPr>
                <w:rFonts w:hint="eastAsia" w:ascii="宋体" w:hAnsi="宋体"/>
                <w:kern w:val="0"/>
                <w:sz w:val="18"/>
                <w:szCs w:val="18"/>
              </w:rPr>
              <w:t>“三公经费”预算安排数）×</w:t>
            </w:r>
            <w:r>
              <w:rPr>
                <w:rFonts w:hint="eastAsia" w:ascii="仿宋_GB2312" w:hAnsi="仿宋_GB2312"/>
                <w:kern w:val="0"/>
                <w:sz w:val="18"/>
                <w:szCs w:val="18"/>
              </w:rPr>
              <w:t>100%</w:t>
            </w:r>
            <w:r>
              <w:rPr>
                <w:rFonts w:hint="eastAsia" w:ascii="宋体" w:hAnsi="宋体"/>
                <w:kern w:val="0"/>
                <w:sz w:val="18"/>
                <w:szCs w:val="18"/>
              </w:rPr>
              <w:t>。</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8</w:t>
            </w:r>
          </w:p>
        </w:tc>
      </w:tr>
      <w:tr>
        <w:tblPrEx>
          <w:tblCellMar>
            <w:top w:w="0" w:type="dxa"/>
            <w:left w:w="108" w:type="dxa"/>
            <w:bottom w:w="0" w:type="dxa"/>
            <w:right w:w="108" w:type="dxa"/>
          </w:tblCellMar>
        </w:tblPrEx>
        <w:trPr>
          <w:trHeight w:val="753" w:hRule="atLeast"/>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000000" w:sz="4" w:space="0"/>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100%</w:t>
            </w:r>
            <w:r>
              <w:rPr>
                <w:rFonts w:hint="eastAsia" w:ascii="宋体" w:hAnsi="宋体"/>
                <w:kern w:val="0"/>
                <w:sz w:val="20"/>
                <w:szCs w:val="20"/>
              </w:rPr>
              <w:t>计满分，每超过（降低）</w:t>
            </w:r>
            <w:r>
              <w:rPr>
                <w:rFonts w:hint="eastAsia" w:ascii="仿宋_GB2312" w:hAnsi="仿宋_GB2312"/>
                <w:kern w:val="0"/>
                <w:sz w:val="20"/>
                <w:szCs w:val="20"/>
              </w:rPr>
              <w:t>5%</w:t>
            </w:r>
            <w:r>
              <w:rPr>
                <w:rFonts w:hint="eastAsia" w:ascii="宋体" w:hAnsi="宋体"/>
                <w:kern w:val="0"/>
                <w:sz w:val="20"/>
                <w:szCs w:val="20"/>
              </w:rPr>
              <w:t>扣</w:t>
            </w:r>
            <w:r>
              <w:rPr>
                <w:rFonts w:hint="eastAsia" w:ascii="仿宋_GB2312" w:hAnsi="仿宋_GB2312"/>
                <w:kern w:val="0"/>
                <w:sz w:val="20"/>
                <w:szCs w:val="20"/>
              </w:rPr>
              <w:t>2</w:t>
            </w:r>
            <w:r>
              <w:rPr>
                <w:rFonts w:hint="eastAsia" w:ascii="宋体" w:hAnsi="宋体"/>
                <w:kern w:val="0"/>
                <w:sz w:val="20"/>
                <w:szCs w:val="20"/>
              </w:rPr>
              <w:t>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政府采购执行率</w:t>
            </w:r>
            <w:r>
              <w:rPr>
                <w:rFonts w:hint="eastAsia" w:ascii="仿宋_GB2312" w:hAnsi="仿宋_GB2312"/>
                <w:kern w:val="0"/>
                <w:sz w:val="20"/>
                <w:szCs w:val="20"/>
              </w:rPr>
              <w:t>=</w:t>
            </w:r>
            <w:r>
              <w:rPr>
                <w:rFonts w:hint="eastAsia" w:ascii="宋体" w:hAnsi="宋体"/>
                <w:kern w:val="0"/>
                <w:sz w:val="20"/>
                <w:szCs w:val="20"/>
              </w:rPr>
              <w:t>（实际政府采购金额</w:t>
            </w:r>
            <w:r>
              <w:rPr>
                <w:rFonts w:hint="eastAsia" w:ascii="仿宋_GB2312" w:hAnsi="仿宋_GB2312"/>
                <w:kern w:val="0"/>
                <w:sz w:val="20"/>
                <w:szCs w:val="20"/>
              </w:rPr>
              <w:t>/</w:t>
            </w:r>
            <w:r>
              <w:rPr>
                <w:rFonts w:hint="eastAsia" w:ascii="宋体" w:hAnsi="宋体"/>
                <w:kern w:val="0"/>
                <w:sz w:val="20"/>
                <w:szCs w:val="20"/>
              </w:rPr>
              <w:t>政府采购预算数）×</w:t>
            </w:r>
            <w:r>
              <w:rPr>
                <w:rFonts w:hint="eastAsia" w:ascii="仿宋_GB2312" w:hAnsi="仿宋_GB2312"/>
                <w:kern w:val="0"/>
                <w:sz w:val="20"/>
                <w:szCs w:val="20"/>
              </w:rPr>
              <w:t>100%</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6</w:t>
            </w:r>
          </w:p>
        </w:tc>
      </w:tr>
      <w:tr>
        <w:tblPrEx>
          <w:tblCellMar>
            <w:top w:w="0" w:type="dxa"/>
            <w:left w:w="108" w:type="dxa"/>
            <w:bottom w:w="0" w:type="dxa"/>
            <w:right w:w="108" w:type="dxa"/>
          </w:tblCellMar>
        </w:tblPrEx>
        <w:trPr>
          <w:jc w:val="center"/>
        </w:trPr>
        <w:tc>
          <w:tcPr>
            <w:tcW w:w="57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过                                                                                                                                       程</w:t>
            </w:r>
          </w:p>
        </w:tc>
        <w:tc>
          <w:tcPr>
            <w:tcW w:w="458" w:type="dxa"/>
            <w:vMerge w:val="restart"/>
            <w:tcBorders>
              <w:top w:val="single" w:color="auto" w:sz="4" w:space="0"/>
              <w:left w:val="nil"/>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预算管理</w:t>
            </w: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①有内部财务管理制度、会计核算制度等管理制度，</w:t>
            </w:r>
            <w:r>
              <w:rPr>
                <w:rFonts w:hint="eastAsia" w:ascii="仿宋_GB2312" w:hAnsi="仿宋_GB2312"/>
                <w:kern w:val="0"/>
                <w:sz w:val="20"/>
                <w:szCs w:val="20"/>
              </w:rPr>
              <w:t>2</w:t>
            </w:r>
            <w:r>
              <w:rPr>
                <w:rFonts w:hint="eastAsia" w:ascii="宋体" w:hAnsi="宋体"/>
                <w:kern w:val="0"/>
                <w:sz w:val="20"/>
                <w:szCs w:val="20"/>
              </w:rPr>
              <w:t>分；②有本部门厉行节约制度</w:t>
            </w:r>
            <w:r>
              <w:rPr>
                <w:rFonts w:hint="eastAsia" w:ascii="仿宋_GB2312" w:hAnsi="仿宋_GB2312"/>
                <w:kern w:val="0"/>
                <w:sz w:val="20"/>
                <w:szCs w:val="20"/>
              </w:rPr>
              <w:t>,2</w:t>
            </w:r>
            <w:r>
              <w:rPr>
                <w:rFonts w:hint="eastAsia" w:ascii="宋体" w:hAnsi="宋体"/>
                <w:kern w:val="0"/>
                <w:sz w:val="20"/>
                <w:szCs w:val="20"/>
              </w:rPr>
              <w:t>分；③相关管理制度合法、合规、完整，</w:t>
            </w:r>
            <w:r>
              <w:rPr>
                <w:rFonts w:hint="eastAsia" w:ascii="仿宋_GB2312" w:hAnsi="仿宋_GB2312"/>
                <w:kern w:val="0"/>
                <w:sz w:val="20"/>
                <w:szCs w:val="20"/>
              </w:rPr>
              <w:t>2</w:t>
            </w:r>
            <w:r>
              <w:rPr>
                <w:rFonts w:hint="eastAsia" w:ascii="宋体" w:hAnsi="宋体"/>
                <w:kern w:val="0"/>
                <w:sz w:val="20"/>
                <w:szCs w:val="20"/>
              </w:rPr>
              <w:t>分；④相关管理制度得到有效执行，</w:t>
            </w:r>
            <w:r>
              <w:rPr>
                <w:rFonts w:hint="eastAsia" w:ascii="仿宋_GB2312" w:hAnsi="仿宋_GB2312"/>
                <w:kern w:val="0"/>
                <w:sz w:val="20"/>
                <w:szCs w:val="20"/>
              </w:rPr>
              <w:t>2</w:t>
            </w:r>
            <w:r>
              <w:rPr>
                <w:rFonts w:hint="eastAsia" w:ascii="宋体" w:hAnsi="宋体"/>
                <w:kern w:val="0"/>
                <w:sz w:val="20"/>
                <w:szCs w:val="20"/>
              </w:rPr>
              <w:t>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8</w:t>
            </w:r>
          </w:p>
        </w:tc>
      </w:tr>
      <w:tr>
        <w:tblPrEx>
          <w:tblCellMar>
            <w:top w:w="0" w:type="dxa"/>
            <w:left w:w="108" w:type="dxa"/>
            <w:bottom w:w="0" w:type="dxa"/>
            <w:right w:w="108" w:type="dxa"/>
          </w:tblCellMar>
        </w:tblPrEx>
        <w:trPr>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kern w:val="0"/>
                <w:sz w:val="20"/>
                <w:szCs w:val="20"/>
              </w:rPr>
              <w:br w:type="textWrapping"/>
            </w:r>
            <w:r>
              <w:rPr>
                <w:rFonts w:hint="eastAsia" w:ascii="仿宋_GB2312" w:hAnsi="宋体"/>
                <w:kern w:val="0"/>
                <w:sz w:val="20"/>
                <w:szCs w:val="20"/>
              </w:rPr>
              <w:t>以上情况每出现一例不符合要求的扣</w:t>
            </w:r>
            <w:r>
              <w:rPr>
                <w:rFonts w:hint="eastAsia" w:ascii="仿宋_GB2312" w:hAnsi="仿宋_GB2312"/>
                <w:kern w:val="0"/>
                <w:sz w:val="20"/>
                <w:szCs w:val="20"/>
              </w:rPr>
              <w:t>1</w:t>
            </w:r>
            <w:r>
              <w:rPr>
                <w:rFonts w:hint="eastAsia" w:ascii="宋体" w:hAnsi="宋体"/>
                <w:kern w:val="0"/>
                <w:sz w:val="20"/>
                <w:szCs w:val="20"/>
              </w:rPr>
              <w:t>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r>
      <w:tr>
        <w:tblPrEx>
          <w:tblCellMar>
            <w:top w:w="0" w:type="dxa"/>
            <w:left w:w="108" w:type="dxa"/>
            <w:bottom w:w="0" w:type="dxa"/>
            <w:right w:w="108" w:type="dxa"/>
          </w:tblCellMar>
        </w:tblPrEx>
        <w:trPr>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①按规定内容公开预决算信息，</w:t>
            </w:r>
            <w:r>
              <w:rPr>
                <w:rFonts w:hint="eastAsia" w:ascii="仿宋_GB2312" w:hAnsi="仿宋_GB2312"/>
                <w:kern w:val="0"/>
                <w:sz w:val="20"/>
                <w:szCs w:val="20"/>
              </w:rPr>
              <w:t>1</w:t>
            </w:r>
            <w:r>
              <w:rPr>
                <w:rFonts w:hint="eastAsia" w:ascii="宋体" w:hAnsi="宋体"/>
                <w:kern w:val="0"/>
                <w:sz w:val="20"/>
                <w:szCs w:val="20"/>
              </w:rPr>
              <w:t>分；②按规定时限公开预决算信息，</w:t>
            </w:r>
            <w:r>
              <w:rPr>
                <w:rFonts w:hint="eastAsia" w:ascii="仿宋_GB2312" w:hAnsi="仿宋_GB2312"/>
                <w:kern w:val="0"/>
                <w:sz w:val="20"/>
                <w:szCs w:val="20"/>
              </w:rPr>
              <w:t>1</w:t>
            </w:r>
            <w:r>
              <w:rPr>
                <w:rFonts w:hint="eastAsia" w:ascii="宋体" w:hAnsi="宋体"/>
                <w:kern w:val="0"/>
                <w:sz w:val="20"/>
                <w:szCs w:val="20"/>
              </w:rPr>
              <w:t>分；③基础数据信息和会计信息资料真实，</w:t>
            </w:r>
            <w:r>
              <w:rPr>
                <w:rFonts w:hint="eastAsia" w:ascii="仿宋_GB2312" w:hAnsi="仿宋_GB2312"/>
                <w:kern w:val="0"/>
                <w:sz w:val="20"/>
                <w:szCs w:val="20"/>
              </w:rPr>
              <w:t>1</w:t>
            </w:r>
            <w:r>
              <w:rPr>
                <w:rFonts w:hint="eastAsia" w:ascii="宋体" w:hAnsi="宋体"/>
                <w:kern w:val="0"/>
                <w:sz w:val="20"/>
                <w:szCs w:val="20"/>
              </w:rPr>
              <w:t>分；④基础数据信息和会计信息资料完整，</w:t>
            </w:r>
            <w:r>
              <w:rPr>
                <w:rFonts w:hint="eastAsia" w:ascii="仿宋_GB2312" w:hAnsi="仿宋_GB2312"/>
                <w:kern w:val="0"/>
                <w:sz w:val="20"/>
                <w:szCs w:val="20"/>
              </w:rPr>
              <w:t>1</w:t>
            </w:r>
            <w:r>
              <w:rPr>
                <w:rFonts w:hint="eastAsia" w:ascii="宋体" w:hAnsi="宋体"/>
                <w:kern w:val="0"/>
                <w:sz w:val="20"/>
                <w:szCs w:val="20"/>
              </w:rPr>
              <w:t>分；⑤基础数据信息和汇集信息资料准确，</w:t>
            </w:r>
            <w:r>
              <w:rPr>
                <w:rFonts w:hint="eastAsia" w:ascii="仿宋_GB2312" w:hAnsi="仿宋_GB2312"/>
                <w:kern w:val="0"/>
                <w:sz w:val="20"/>
                <w:szCs w:val="20"/>
              </w:rPr>
              <w:t>1</w:t>
            </w:r>
            <w:r>
              <w:rPr>
                <w:rFonts w:hint="eastAsia" w:ascii="宋体" w:hAnsi="宋体"/>
                <w:kern w:val="0"/>
                <w:sz w:val="20"/>
                <w:szCs w:val="20"/>
              </w:rPr>
              <w:t xml:space="preserve">分。  </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jc w:val="center"/>
        </w:trPr>
        <w:tc>
          <w:tcPr>
            <w:tcW w:w="57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产出及效率</w:t>
            </w:r>
          </w:p>
        </w:tc>
        <w:tc>
          <w:tcPr>
            <w:tcW w:w="458" w:type="dxa"/>
            <w:vMerge w:val="restart"/>
            <w:tcBorders>
              <w:top w:val="nil"/>
              <w:left w:val="nil"/>
              <w:bottom w:val="single" w:color="000000"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26</w:t>
            </w:r>
          </w:p>
        </w:tc>
        <w:tc>
          <w:tcPr>
            <w:tcW w:w="70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重点工作实际完成</w:t>
            </w:r>
            <w:bookmarkStart w:id="0" w:name="_GoBack"/>
            <w:bookmarkEnd w:id="0"/>
            <w:r>
              <w:rPr>
                <w:rFonts w:hint="eastAsia" w:ascii="仿宋_GB2312" w:hAnsi="宋体"/>
                <w:kern w:val="0"/>
                <w:sz w:val="20"/>
                <w:szCs w:val="20"/>
              </w:rPr>
              <w:t>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8</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根据县综合考评办</w:t>
            </w:r>
            <w:r>
              <w:rPr>
                <w:rFonts w:hint="eastAsia" w:ascii="仿宋_GB2312" w:hAnsi="仿宋_GB2312"/>
                <w:kern w:val="0"/>
                <w:sz w:val="20"/>
                <w:szCs w:val="20"/>
              </w:rPr>
              <w:t>201</w:t>
            </w:r>
            <w:r>
              <w:rPr>
                <w:rFonts w:hint="eastAsia" w:ascii="仿宋_GB2312" w:hAnsi="宋体"/>
                <w:kern w:val="0"/>
                <w:sz w:val="20"/>
                <w:szCs w:val="20"/>
              </w:rPr>
              <w:t>9年对各部门为民办实事和部门重点工程与重点工作考核分数折算。</w:t>
            </w:r>
            <w:r>
              <w:rPr>
                <w:rFonts w:hint="eastAsia" w:ascii="仿宋_GB2312" w:hAnsi="宋体"/>
                <w:kern w:val="0"/>
                <w:sz w:val="20"/>
                <w:szCs w:val="20"/>
              </w:rPr>
              <w:br w:type="textWrapping"/>
            </w:r>
            <w:r>
              <w:rPr>
                <w:rFonts w:hint="eastAsia" w:ascii="仿宋_GB2312" w:hAnsi="宋体"/>
                <w:kern w:val="0"/>
                <w:sz w:val="20"/>
                <w:szCs w:val="20"/>
              </w:rPr>
              <w:t>该项得分</w:t>
            </w:r>
            <w:r>
              <w:rPr>
                <w:rFonts w:hint="eastAsia" w:ascii="仿宋_GB2312" w:hAnsi="仿宋_GB2312"/>
                <w:kern w:val="0"/>
                <w:sz w:val="20"/>
                <w:szCs w:val="20"/>
              </w:rPr>
              <w:t>=</w:t>
            </w:r>
            <w:r>
              <w:rPr>
                <w:rFonts w:hint="eastAsia" w:ascii="宋体" w:hAnsi="宋体"/>
                <w:kern w:val="0"/>
                <w:sz w:val="20"/>
                <w:szCs w:val="20"/>
              </w:rPr>
              <w:t>（</w:t>
            </w:r>
            <w:r>
              <w:rPr>
                <w:rFonts w:hint="eastAsia" w:ascii="仿宋_GB2312" w:hAnsi="宋体"/>
                <w:kern w:val="0"/>
                <w:sz w:val="20"/>
                <w:szCs w:val="20"/>
              </w:rPr>
              <w:t>县综合考评办对应部分考核得分</w:t>
            </w:r>
            <w:r>
              <w:rPr>
                <w:rFonts w:hint="eastAsia" w:ascii="仿宋_GB2312" w:hAnsi="仿宋_GB2312"/>
                <w:kern w:val="0"/>
                <w:sz w:val="20"/>
                <w:szCs w:val="20"/>
              </w:rPr>
              <w:t>/</w:t>
            </w:r>
            <w:r>
              <w:rPr>
                <w:rFonts w:hint="eastAsia" w:ascii="仿宋_GB2312" w:hAnsi="宋体"/>
                <w:kern w:val="0"/>
                <w:sz w:val="20"/>
                <w:szCs w:val="20"/>
              </w:rPr>
              <w:t>100）</w:t>
            </w:r>
            <w:r>
              <w:rPr>
                <w:rFonts w:hint="eastAsia" w:ascii="仿宋_GB2312" w:hAnsi="仿宋_GB2312"/>
                <w:kern w:val="0"/>
                <w:sz w:val="20"/>
                <w:szCs w:val="20"/>
              </w:rPr>
              <w:t>*8</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　</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8</w:t>
            </w:r>
          </w:p>
        </w:tc>
      </w:tr>
      <w:tr>
        <w:tblPrEx>
          <w:tblCellMar>
            <w:top w:w="0" w:type="dxa"/>
            <w:left w:w="108" w:type="dxa"/>
            <w:bottom w:w="0" w:type="dxa"/>
            <w:right w:w="108" w:type="dxa"/>
          </w:tblCellMar>
        </w:tblPrEx>
        <w:trPr>
          <w:trHeight w:val="357" w:hRule="atLeast"/>
          <w:jc w:val="center"/>
        </w:trPr>
        <w:tc>
          <w:tcPr>
            <w:tcW w:w="17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restart"/>
            <w:tcBorders>
              <w:top w:val="single" w:color="auto" w:sz="4" w:space="0"/>
              <w:left w:val="nil"/>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履职 效益</w:t>
            </w:r>
          </w:p>
        </w:tc>
        <w:tc>
          <w:tcPr>
            <w:tcW w:w="613" w:type="dxa"/>
            <w:vMerge w:val="restart"/>
            <w:tcBorders>
              <w:top w:val="single" w:color="auto" w:sz="4" w:space="0"/>
              <w:left w:val="nil"/>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18"/>
                <w:szCs w:val="18"/>
              </w:rPr>
            </w:pPr>
            <w:r>
              <w:rPr>
                <w:rFonts w:hint="eastAsia" w:ascii="仿宋_GB2312" w:hAnsi="宋体"/>
                <w:kern w:val="0"/>
                <w:sz w:val="18"/>
                <w:szCs w:val="18"/>
              </w:rPr>
              <w:t>经济</w:t>
            </w:r>
          </w:p>
          <w:p>
            <w:pPr>
              <w:widowControl/>
              <w:spacing w:line="260" w:lineRule="exact"/>
              <w:jc w:val="center"/>
              <w:rPr>
                <w:rFonts w:ascii="仿宋_GB2312" w:hAnsi="宋体"/>
                <w:kern w:val="0"/>
                <w:sz w:val="20"/>
                <w:szCs w:val="20"/>
              </w:rPr>
            </w:pPr>
            <w:r>
              <w:rPr>
                <w:rFonts w:hint="eastAsia" w:ascii="仿宋_GB2312" w:hAnsi="宋体"/>
                <w:kern w:val="0"/>
                <w:sz w:val="18"/>
                <w:szCs w:val="18"/>
              </w:rPr>
              <w:t>效益</w:t>
            </w:r>
          </w:p>
        </w:tc>
        <w:tc>
          <w:tcPr>
            <w:tcW w:w="602" w:type="dxa"/>
            <w:vMerge w:val="restart"/>
            <w:tcBorders>
              <w:top w:val="single" w:color="auto" w:sz="4" w:space="0"/>
              <w:left w:val="nil"/>
              <w:bottom w:val="nil"/>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5511" w:type="dxa"/>
            <w:gridSpan w:val="2"/>
            <w:vMerge w:val="restart"/>
            <w:tcBorders>
              <w:top w:val="single" w:color="auto" w:sz="4" w:space="0"/>
              <w:left w:val="nil"/>
              <w:bottom w:val="single" w:color="auto" w:sz="4" w:space="0"/>
              <w:right w:val="single" w:color="000000"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p>
          <w:p>
            <w:pPr>
              <w:widowControl/>
              <w:spacing w:line="260" w:lineRule="exact"/>
              <w:jc w:val="center"/>
              <w:rPr>
                <w:rFonts w:ascii="仿宋_GB2312" w:hAnsi="宋体" w:cs="宋体"/>
                <w:kern w:val="0"/>
                <w:sz w:val="20"/>
                <w:szCs w:val="20"/>
              </w:rPr>
            </w:pPr>
            <w:r>
              <w:rPr>
                <w:rFonts w:hint="eastAsia" w:ascii="仿宋_GB2312" w:hAnsi="宋体"/>
                <w:kern w:val="0"/>
                <w:sz w:val="20"/>
                <w:szCs w:val="20"/>
              </w:rPr>
              <w:t>5</w:t>
            </w:r>
          </w:p>
        </w:tc>
      </w:tr>
      <w:tr>
        <w:tblPrEx>
          <w:tblCellMar>
            <w:top w:w="0" w:type="dxa"/>
            <w:left w:w="108" w:type="dxa"/>
            <w:bottom w:w="0" w:type="dxa"/>
            <w:right w:w="108" w:type="dxa"/>
          </w:tblCellMar>
        </w:tblPrEx>
        <w:trPr>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single" w:color="000000" w:sz="4" w:space="0"/>
              <w:left w:val="nil"/>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single" w:color="000000" w:sz="4" w:space="0"/>
              <w:left w:val="nil"/>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18"/>
                <w:szCs w:val="18"/>
              </w:rPr>
            </w:pPr>
            <w:r>
              <w:rPr>
                <w:rFonts w:hint="eastAsia" w:ascii="仿宋_GB2312" w:hAnsi="宋体"/>
                <w:kern w:val="0"/>
                <w:sz w:val="18"/>
                <w:szCs w:val="18"/>
              </w:rPr>
              <w:t>社会</w:t>
            </w:r>
          </w:p>
          <w:p>
            <w:pPr>
              <w:widowControl/>
              <w:spacing w:line="260" w:lineRule="exact"/>
              <w:jc w:val="center"/>
              <w:rPr>
                <w:rFonts w:ascii="仿宋_GB2312" w:hAnsi="宋体"/>
                <w:kern w:val="0"/>
                <w:sz w:val="20"/>
                <w:szCs w:val="20"/>
              </w:rPr>
            </w:pPr>
            <w:r>
              <w:rPr>
                <w:rFonts w:hint="eastAsia" w:ascii="仿宋_GB2312" w:hAnsi="宋体"/>
                <w:kern w:val="0"/>
                <w:sz w:val="18"/>
                <w:szCs w:val="18"/>
              </w:rPr>
              <w:t>效益</w:t>
            </w:r>
          </w:p>
        </w:tc>
        <w:tc>
          <w:tcPr>
            <w:tcW w:w="602" w:type="dxa"/>
            <w:vMerge w:val="continue"/>
            <w:tcBorders>
              <w:top w:val="nil"/>
              <w:left w:val="nil"/>
              <w:bottom w:val="nil"/>
              <w:right w:val="single" w:color="auto" w:sz="4" w:space="0"/>
            </w:tcBorders>
            <w:vAlign w:val="center"/>
          </w:tcPr>
          <w:p>
            <w:pPr>
              <w:widowControl/>
              <w:jc w:val="left"/>
              <w:rPr>
                <w:rFonts w:ascii="仿宋_GB2312" w:hAnsi="宋体"/>
                <w:kern w:val="0"/>
                <w:sz w:val="20"/>
                <w:szCs w:val="20"/>
              </w:rPr>
            </w:pPr>
          </w:p>
        </w:tc>
        <w:tc>
          <w:tcPr>
            <w:tcW w:w="8204" w:type="dxa"/>
            <w:gridSpan w:val="2"/>
            <w:vMerge w:val="continue"/>
            <w:tcBorders>
              <w:top w:val="single" w:color="auto" w:sz="4" w:space="0"/>
              <w:left w:val="nil"/>
              <w:bottom w:val="single" w:color="auto" w:sz="4" w:space="0"/>
              <w:right w:val="single" w:color="000000" w:sz="4" w:space="0"/>
            </w:tcBorders>
            <w:vAlign w:val="center"/>
          </w:tcPr>
          <w:p>
            <w:pPr>
              <w:widowControl/>
              <w:jc w:val="left"/>
              <w:rPr>
                <w:rFonts w:ascii="仿宋_GB2312" w:hAnsi="宋体"/>
                <w:kern w:val="0"/>
                <w:sz w:val="20"/>
                <w:szCs w:val="20"/>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r>
      <w:tr>
        <w:tblPrEx>
          <w:tblCellMar>
            <w:top w:w="0" w:type="dxa"/>
            <w:left w:w="108" w:type="dxa"/>
            <w:bottom w:w="0" w:type="dxa"/>
            <w:right w:w="108" w:type="dxa"/>
          </w:tblCellMar>
        </w:tblPrEx>
        <w:trPr>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single" w:color="000000" w:sz="4" w:space="0"/>
              <w:left w:val="nil"/>
              <w:right w:val="single" w:color="auto" w:sz="4" w:space="0"/>
            </w:tcBorders>
            <w:vAlign w:val="center"/>
          </w:tcPr>
          <w:p>
            <w:pPr>
              <w:widowControl/>
              <w:jc w:val="left"/>
              <w:rPr>
                <w:rFonts w:ascii="仿宋_GB2312" w:hAnsi="宋体"/>
                <w:kern w:val="0"/>
                <w:sz w:val="20"/>
                <w:szCs w:val="20"/>
              </w:rPr>
            </w:pPr>
          </w:p>
        </w:tc>
        <w:tc>
          <w:tcPr>
            <w:tcW w:w="613" w:type="dxa"/>
            <w:vMerge w:val="restart"/>
            <w:tcBorders>
              <w:left w:val="nil"/>
              <w:bottom w:val="single" w:color="000000"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12</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行政</w:t>
            </w:r>
          </w:p>
          <w:p>
            <w:pPr>
              <w:widowControl/>
              <w:spacing w:line="260" w:lineRule="exact"/>
              <w:jc w:val="center"/>
              <w:rPr>
                <w:rFonts w:ascii="仿宋_GB2312" w:hAnsi="宋体"/>
                <w:kern w:val="0"/>
                <w:sz w:val="20"/>
                <w:szCs w:val="20"/>
              </w:rPr>
            </w:pPr>
            <w:r>
              <w:rPr>
                <w:rFonts w:hint="eastAsia" w:ascii="仿宋_GB2312" w:hAnsi="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促进部门改进文风会风，加强经费及资产管理，推动网上办事，提高行政效率，降低行政成本效果较好的计</w:t>
            </w:r>
            <w:r>
              <w:rPr>
                <w:rFonts w:hint="eastAsia" w:ascii="仿宋_GB2312" w:hAnsi="仿宋_GB2312"/>
                <w:kern w:val="0"/>
                <w:sz w:val="20"/>
                <w:szCs w:val="20"/>
              </w:rPr>
              <w:t>6</w:t>
            </w:r>
            <w:r>
              <w:rPr>
                <w:rFonts w:hint="eastAsia" w:ascii="宋体" w:hAnsi="宋体"/>
                <w:kern w:val="0"/>
                <w:sz w:val="20"/>
                <w:szCs w:val="20"/>
              </w:rPr>
              <w:t>分；一般</w:t>
            </w:r>
            <w:r>
              <w:rPr>
                <w:rFonts w:hint="eastAsia" w:ascii="仿宋_GB2312" w:hAnsi="仿宋_GB2312"/>
                <w:kern w:val="0"/>
                <w:sz w:val="20"/>
                <w:szCs w:val="20"/>
              </w:rPr>
              <w:t>3</w:t>
            </w:r>
            <w:r>
              <w:rPr>
                <w:rFonts w:hint="eastAsia" w:ascii="宋体" w:hAnsi="宋体"/>
                <w:kern w:val="0"/>
                <w:sz w:val="20"/>
                <w:szCs w:val="20"/>
              </w:rPr>
              <w:t>分；无效果或者效果不明显</w:t>
            </w:r>
            <w:r>
              <w:rPr>
                <w:rFonts w:hint="eastAsia" w:ascii="仿宋_GB2312" w:hAnsi="仿宋_GB2312"/>
                <w:kern w:val="0"/>
                <w:sz w:val="20"/>
                <w:szCs w:val="20"/>
              </w:rPr>
              <w:t>0</w:t>
            </w:r>
            <w:r>
              <w:rPr>
                <w:rFonts w:hint="eastAsia" w:ascii="宋体" w:hAnsi="宋体"/>
                <w:kern w:val="0"/>
                <w:sz w:val="20"/>
                <w:szCs w:val="20"/>
              </w:rPr>
              <w:t>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3</w:t>
            </w:r>
          </w:p>
        </w:tc>
      </w:tr>
      <w:tr>
        <w:tblPrEx>
          <w:tblCellMar>
            <w:top w:w="0" w:type="dxa"/>
            <w:left w:w="108" w:type="dxa"/>
            <w:bottom w:w="0" w:type="dxa"/>
            <w:right w:w="108" w:type="dxa"/>
          </w:tblCellMar>
        </w:tblPrEx>
        <w:trPr>
          <w:jc w:val="center"/>
        </w:trPr>
        <w:tc>
          <w:tcPr>
            <w:tcW w:w="1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kern w:val="0"/>
                <w:sz w:val="20"/>
                <w:szCs w:val="20"/>
              </w:rPr>
            </w:pPr>
          </w:p>
        </w:tc>
        <w:tc>
          <w:tcPr>
            <w:tcW w:w="458"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700" w:type="dxa"/>
            <w:vMerge w:val="continue"/>
            <w:tcBorders>
              <w:top w:val="single" w:color="000000" w:sz="4" w:space="0"/>
              <w:left w:val="nil"/>
              <w:right w:val="single" w:color="auto" w:sz="4" w:space="0"/>
            </w:tcBorders>
            <w:vAlign w:val="center"/>
          </w:tcPr>
          <w:p>
            <w:pPr>
              <w:widowControl/>
              <w:jc w:val="left"/>
              <w:rPr>
                <w:rFonts w:ascii="仿宋_GB2312" w:hAnsi="宋体"/>
                <w:kern w:val="0"/>
                <w:sz w:val="20"/>
                <w:szCs w:val="20"/>
              </w:rPr>
            </w:pPr>
          </w:p>
        </w:tc>
        <w:tc>
          <w:tcPr>
            <w:tcW w:w="613" w:type="dxa"/>
            <w:vMerge w:val="continue"/>
            <w:tcBorders>
              <w:top w:val="nil"/>
              <w:left w:val="nil"/>
              <w:bottom w:val="single" w:color="000000" w:sz="4" w:space="0"/>
              <w:right w:val="single" w:color="auto" w:sz="4" w:space="0"/>
            </w:tcBorders>
            <w:vAlign w:val="center"/>
          </w:tcPr>
          <w:p>
            <w:pPr>
              <w:widowControl/>
              <w:jc w:val="left"/>
              <w:rPr>
                <w:rFonts w:ascii="仿宋_GB2312" w:hAnsi="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90%</w:t>
            </w:r>
            <w:r>
              <w:rPr>
                <w:rFonts w:hint="eastAsia" w:ascii="宋体" w:hAnsi="宋体"/>
                <w:kern w:val="0"/>
                <w:sz w:val="20"/>
                <w:szCs w:val="20"/>
              </w:rPr>
              <w:t>（含）以上计</w:t>
            </w:r>
            <w:r>
              <w:rPr>
                <w:rFonts w:hint="eastAsia" w:ascii="仿宋_GB2312" w:hAnsi="仿宋_GB2312"/>
                <w:kern w:val="0"/>
                <w:sz w:val="20"/>
                <w:szCs w:val="20"/>
              </w:rPr>
              <w:t>6</w:t>
            </w:r>
            <w:r>
              <w:rPr>
                <w:rFonts w:hint="eastAsia" w:ascii="宋体" w:hAnsi="宋体"/>
                <w:kern w:val="0"/>
                <w:sz w:val="20"/>
                <w:szCs w:val="20"/>
              </w:rPr>
              <w:t>分；</w:t>
            </w:r>
            <w:r>
              <w:rPr>
                <w:rFonts w:hint="eastAsia" w:ascii="仿宋_GB2312" w:hAnsi="宋体"/>
                <w:kern w:val="0"/>
                <w:sz w:val="20"/>
                <w:szCs w:val="20"/>
              </w:rPr>
              <w:br w:type="textWrapping"/>
            </w:r>
            <w:r>
              <w:rPr>
                <w:rFonts w:hint="eastAsia" w:ascii="仿宋_GB2312" w:hAnsi="宋体"/>
                <w:kern w:val="0"/>
                <w:sz w:val="20"/>
                <w:szCs w:val="20"/>
              </w:rPr>
              <w:t>80%</w:t>
            </w:r>
            <w:r>
              <w:rPr>
                <w:rFonts w:hint="eastAsia" w:ascii="宋体" w:hAnsi="宋体"/>
                <w:kern w:val="0"/>
                <w:sz w:val="20"/>
                <w:szCs w:val="20"/>
              </w:rPr>
              <w:t>（含）</w:t>
            </w:r>
            <w:r>
              <w:rPr>
                <w:rFonts w:hint="eastAsia" w:ascii="仿宋_GB2312" w:hAnsi="仿宋_GB2312"/>
                <w:kern w:val="0"/>
                <w:sz w:val="20"/>
                <w:szCs w:val="20"/>
              </w:rPr>
              <w:t>-90%</w:t>
            </w:r>
            <w:r>
              <w:rPr>
                <w:rFonts w:hint="eastAsia" w:ascii="宋体" w:hAnsi="宋体"/>
                <w:kern w:val="0"/>
                <w:sz w:val="20"/>
                <w:szCs w:val="20"/>
              </w:rPr>
              <w:t>，计</w:t>
            </w:r>
            <w:r>
              <w:rPr>
                <w:rFonts w:hint="eastAsia" w:ascii="仿宋_GB2312" w:hAnsi="仿宋_GB2312"/>
                <w:kern w:val="0"/>
                <w:sz w:val="20"/>
                <w:szCs w:val="20"/>
              </w:rPr>
              <w:t>4</w:t>
            </w:r>
            <w:r>
              <w:rPr>
                <w:rFonts w:hint="eastAsia" w:ascii="宋体" w:hAnsi="宋体"/>
                <w:kern w:val="0"/>
                <w:sz w:val="20"/>
                <w:szCs w:val="20"/>
              </w:rPr>
              <w:t>分；</w:t>
            </w:r>
            <w:r>
              <w:rPr>
                <w:rFonts w:hint="eastAsia" w:ascii="仿宋_GB2312" w:hAnsi="宋体"/>
                <w:kern w:val="0"/>
                <w:sz w:val="20"/>
                <w:szCs w:val="20"/>
              </w:rPr>
              <w:br w:type="textWrapping"/>
            </w:r>
            <w:r>
              <w:rPr>
                <w:rFonts w:hint="eastAsia" w:ascii="仿宋_GB2312" w:hAnsi="宋体"/>
                <w:kern w:val="0"/>
                <w:sz w:val="20"/>
                <w:szCs w:val="20"/>
              </w:rPr>
              <w:t>70%</w:t>
            </w:r>
            <w:r>
              <w:rPr>
                <w:rFonts w:hint="eastAsia" w:ascii="宋体" w:hAnsi="宋体"/>
                <w:kern w:val="0"/>
                <w:sz w:val="20"/>
                <w:szCs w:val="20"/>
              </w:rPr>
              <w:t>（含）</w:t>
            </w:r>
            <w:r>
              <w:rPr>
                <w:rFonts w:hint="eastAsia" w:ascii="仿宋_GB2312" w:hAnsi="仿宋_GB2312"/>
                <w:kern w:val="0"/>
                <w:sz w:val="20"/>
                <w:szCs w:val="20"/>
              </w:rPr>
              <w:t>-80%</w:t>
            </w:r>
            <w:r>
              <w:rPr>
                <w:rFonts w:hint="eastAsia" w:ascii="宋体" w:hAnsi="宋体"/>
                <w:kern w:val="0"/>
                <w:sz w:val="20"/>
                <w:szCs w:val="20"/>
              </w:rPr>
              <w:t>，计</w:t>
            </w:r>
            <w:r>
              <w:rPr>
                <w:rFonts w:hint="eastAsia" w:ascii="仿宋_GB2312" w:hAnsi="仿宋_GB2312"/>
                <w:kern w:val="0"/>
                <w:sz w:val="20"/>
                <w:szCs w:val="20"/>
              </w:rPr>
              <w:t>2</w:t>
            </w:r>
            <w:r>
              <w:rPr>
                <w:rFonts w:hint="eastAsia" w:ascii="宋体" w:hAnsi="宋体"/>
                <w:kern w:val="0"/>
                <w:sz w:val="20"/>
                <w:szCs w:val="20"/>
              </w:rPr>
              <w:t>分；</w:t>
            </w:r>
            <w:r>
              <w:rPr>
                <w:rFonts w:hint="eastAsia" w:ascii="仿宋_GB2312" w:hAnsi="宋体"/>
                <w:kern w:val="0"/>
                <w:sz w:val="20"/>
                <w:szCs w:val="20"/>
              </w:rPr>
              <w:br w:type="textWrapping"/>
            </w:r>
            <w:r>
              <w:rPr>
                <w:rFonts w:hint="eastAsia" w:ascii="仿宋_GB2312" w:hAnsi="宋体"/>
                <w:kern w:val="0"/>
                <w:sz w:val="20"/>
                <w:szCs w:val="20"/>
              </w:rPr>
              <w:t>低于</w:t>
            </w:r>
            <w:r>
              <w:rPr>
                <w:rFonts w:hint="eastAsia" w:ascii="仿宋_GB2312" w:hAnsi="仿宋_GB2312"/>
                <w:kern w:val="0"/>
                <w:sz w:val="20"/>
                <w:szCs w:val="20"/>
              </w:rPr>
              <w:t>70%</w:t>
            </w:r>
            <w:r>
              <w:rPr>
                <w:rFonts w:hint="eastAsia" w:ascii="宋体" w:hAnsi="宋体"/>
                <w:kern w:val="0"/>
                <w:sz w:val="20"/>
                <w:szCs w:val="20"/>
              </w:rPr>
              <w:t>计</w:t>
            </w:r>
            <w:r>
              <w:rPr>
                <w:rFonts w:hint="eastAsia" w:ascii="仿宋_GB2312" w:hAnsi="仿宋_GB2312"/>
                <w:kern w:val="0"/>
                <w:sz w:val="20"/>
                <w:szCs w:val="20"/>
              </w:rPr>
              <w:t>0</w:t>
            </w:r>
            <w:r>
              <w:rPr>
                <w:rFonts w:hint="eastAsia" w:ascii="宋体" w:hAnsi="宋体"/>
                <w:kern w:val="0"/>
                <w:sz w:val="20"/>
                <w:szCs w:val="20"/>
              </w:rPr>
              <w:t>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r>
              <w:rPr>
                <w:rFonts w:hint="eastAsia" w:ascii="仿宋_GB2312" w:hAnsi="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kern w:val="0"/>
                <w:sz w:val="20"/>
                <w:szCs w:val="20"/>
              </w:rPr>
            </w:pPr>
            <w:r>
              <w:rPr>
                <w:rFonts w:hint="eastAsia" w:ascii="仿宋_GB2312" w:hAnsi="宋体"/>
                <w:b/>
                <w:bCs/>
                <w:kern w:val="0"/>
                <w:sz w:val="20"/>
                <w:szCs w:val="20"/>
              </w:rPr>
              <w:t>合   计</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kern w:val="0"/>
                <w:sz w:val="20"/>
                <w:szCs w:val="20"/>
              </w:rPr>
              <w:t>100</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100</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kern w:val="0"/>
                <w:sz w:val="20"/>
                <w:szCs w:val="20"/>
              </w:rPr>
            </w:pP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kern w:val="0"/>
                <w:sz w:val="20"/>
                <w:szCs w:val="20"/>
              </w:rPr>
              <w:t>95</w:t>
            </w:r>
          </w:p>
        </w:tc>
      </w:tr>
    </w:tbl>
    <w:p/>
    <w:p>
      <w:r>
        <w:t xml:space="preserve"> </w:t>
      </w:r>
    </w:p>
    <w:p>
      <w:pPr>
        <w:ind w:firstLine="640" w:firstLineChars="200"/>
        <w:jc w:val="left"/>
        <w:rPr>
          <w:rFonts w:ascii="宋体" w:hAnsi="宋体"/>
          <w:sz w:val="32"/>
          <w:szCs w:val="32"/>
        </w:rPr>
      </w:pPr>
      <w:r>
        <w:rPr>
          <w:rFonts w:hint="eastAsia" w:ascii="宋体" w:hAnsi="宋体"/>
          <w:sz w:val="32"/>
          <w:szCs w:val="32"/>
        </w:rPr>
        <w:t xml:space="preserve"> </w:t>
      </w:r>
    </w:p>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p>
      <w:pPr>
        <w:spacing w:line="560" w:lineRule="exact"/>
        <w:jc w:val="center"/>
        <w:rPr>
          <w:rFonts w:hint="eastAsia" w:ascii="方正小标宋_GBK" w:hAnsi="宋体" w:cs="宋体"/>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18"/>
    <w:rsid w:val="002E2244"/>
    <w:rsid w:val="006F6B4B"/>
    <w:rsid w:val="00927E74"/>
    <w:rsid w:val="00AF6418"/>
    <w:rsid w:val="00C84DD0"/>
    <w:rsid w:val="617B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98C1F-5A97-4979-B623-2C1B45E931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362</Words>
  <Characters>2070</Characters>
  <Lines>17</Lines>
  <Paragraphs>4</Paragraphs>
  <TotalTime>15</TotalTime>
  <ScaleCrop>false</ScaleCrop>
  <LinksUpToDate>false</LinksUpToDate>
  <CharactersWithSpaces>2428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2020-10-28T01:29:00Z</dcterms:created>
  <dc:creator>微软用户</dc:creator>
  <cp:lastModifiedBy>天若有情天亦老</cp:lastModifiedBy>
  <dcterms:modified xsi:type="dcterms:W3CDTF">2020-10-28T02:02:33Z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