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482"/>
        <w:jc w:val="center"/>
        <w:rPr>
          <w:rFonts w:hint="eastAsia" w:ascii="方正小标宋简体" w:hAnsi="ˎ̥" w:eastAsia="方正小标宋简体" w:cs="宋体"/>
          <w:color w:val="000000" w:themeColor="text1"/>
          <w:kern w:val="0"/>
          <w:sz w:val="44"/>
          <w:szCs w:val="44"/>
          <w14:textFill>
            <w14:solidFill>
              <w14:schemeClr w14:val="tx1"/>
            </w14:solidFill>
          </w14:textFill>
        </w:rPr>
      </w:pPr>
    </w:p>
    <w:p>
      <w:pPr>
        <w:widowControl/>
        <w:shd w:val="clear" w:color="auto" w:fill="FFFFFF"/>
        <w:spacing w:line="600" w:lineRule="exact"/>
        <w:ind w:firstLine="482"/>
        <w:jc w:val="center"/>
        <w:rPr>
          <w:rFonts w:hint="eastAsia" w:ascii="方正小标宋简体" w:hAnsi="ˎ̥" w:eastAsia="方正小标宋简体" w:cs="宋体"/>
          <w:color w:val="000000" w:themeColor="text1"/>
          <w:kern w:val="0"/>
          <w:sz w:val="44"/>
          <w:szCs w:val="44"/>
          <w14:textFill>
            <w14:solidFill>
              <w14:schemeClr w14:val="tx1"/>
            </w14:solidFill>
          </w14:textFill>
        </w:rPr>
      </w:pPr>
    </w:p>
    <w:p>
      <w:pPr>
        <w:widowControl/>
        <w:shd w:val="clear" w:color="auto" w:fill="FFFFFF"/>
        <w:spacing w:line="600" w:lineRule="exact"/>
        <w:ind w:firstLine="482"/>
        <w:jc w:val="center"/>
        <w:rPr>
          <w:rFonts w:hint="eastAsia" w:ascii="方正小标宋简体" w:hAnsi="ˎ̥" w:eastAsia="方正小标宋简体" w:cs="宋体"/>
          <w:color w:val="000000" w:themeColor="text1"/>
          <w:kern w:val="0"/>
          <w:sz w:val="44"/>
          <w:szCs w:val="44"/>
          <w14:textFill>
            <w14:solidFill>
              <w14:schemeClr w14:val="tx1"/>
            </w14:solidFill>
          </w14:textFill>
        </w:rPr>
      </w:pPr>
      <w:r>
        <w:rPr>
          <w:rFonts w:hint="eastAsia" w:ascii="仿宋_GB2312" w:hAnsi="ˎ̥" w:eastAsia="仿宋_GB2312" w:cs="宋体"/>
          <w:color w:val="000000" w:themeColor="text1"/>
          <w:kern w:val="0"/>
          <w:sz w:val="32"/>
          <w:szCs w:val="32"/>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中共永兴县委宣传部</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201</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9年</w:t>
      </w:r>
      <w:r>
        <w:rPr>
          <w:rFonts w:hint="eastAsia" w:ascii="方正小标宋简体" w:hAnsi="ˎ̥" w:eastAsia="方正小标宋简体" w:cs="宋体"/>
          <w:color w:val="000000" w:themeColor="text1"/>
          <w:kern w:val="0"/>
          <w:sz w:val="44"/>
          <w:szCs w:val="44"/>
          <w14:textFill>
            <w14:solidFill>
              <w14:schemeClr w14:val="tx1"/>
            </w14:solidFill>
          </w14:textFill>
        </w:rPr>
        <w:t>度部门整体支出绩效评</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价报</w:t>
      </w:r>
      <w:r>
        <w:rPr>
          <w:rFonts w:hint="eastAsia" w:ascii="方正小标宋简体" w:hAnsi="ˎ̥" w:eastAsia="方正小标宋简体" w:cs="宋体"/>
          <w:color w:val="000000" w:themeColor="text1"/>
          <w:kern w:val="0"/>
          <w:sz w:val="44"/>
          <w:szCs w:val="44"/>
          <w14:textFill>
            <w14:solidFill>
              <w14:schemeClr w14:val="tx1"/>
            </w14:solidFill>
          </w14:textFill>
        </w:rPr>
        <w:t>告</w:t>
      </w:r>
    </w:p>
    <w:p>
      <w:pPr>
        <w:widowControl/>
        <w:shd w:val="clear" w:color="auto" w:fill="FFFFFF"/>
        <w:spacing w:line="600" w:lineRule="exact"/>
        <w:ind w:firstLine="482"/>
        <w:jc w:val="center"/>
        <w:rPr>
          <w:rFonts w:hint="eastAsia" w:ascii="方正小标宋简体" w:hAnsi="ˎ̥" w:eastAsia="方正小标宋简体" w:cs="宋体"/>
          <w:color w:val="000000" w:themeColor="text1"/>
          <w:kern w:val="0"/>
          <w:sz w:val="44"/>
          <w:szCs w:val="44"/>
          <w14:textFill>
            <w14:solidFill>
              <w14:schemeClr w14:val="tx1"/>
            </w14:solidFill>
          </w14:textFill>
        </w:rPr>
      </w:pPr>
    </w:p>
    <w:p>
      <w:pPr>
        <w:widowControl/>
        <w:shd w:val="clear" w:color="auto" w:fill="FFFFFF"/>
        <w:spacing w:line="560" w:lineRule="exact"/>
        <w:ind w:firstLine="640" w:firstLineChars="200"/>
        <w:rPr>
          <w:rFonts w:hint="eastAsia" w:ascii="仿宋_GB2312" w:hAnsi="ˎ̥" w:eastAsia="仿宋_GB2312" w:cs="宋体"/>
          <w:color w:val="000000" w:themeColor="text1"/>
          <w:kern w:val="0"/>
          <w:sz w:val="32"/>
          <w:szCs w:val="32"/>
          <w:lang w:eastAsia="zh-CN"/>
          <w14:textFill>
            <w14:solidFill>
              <w14:schemeClr w14:val="tx1"/>
            </w14:solidFill>
          </w14:textFill>
        </w:rPr>
      </w:pPr>
      <w:bookmarkStart w:id="0" w:name="OLE_LINK1"/>
      <w:r>
        <w:rPr>
          <w:rFonts w:hint="eastAsia" w:ascii="仿宋_GB2312" w:hAnsi="ˎ̥" w:eastAsia="仿宋_GB2312" w:cs="宋体"/>
          <w:color w:val="000000" w:themeColor="text1"/>
          <w:kern w:val="0"/>
          <w:sz w:val="32"/>
          <w:szCs w:val="32"/>
          <w14:textFill>
            <w14:solidFill>
              <w14:schemeClr w14:val="tx1"/>
            </w14:solidFill>
          </w14:textFill>
        </w:rPr>
        <w:t>根据《永兴县财政局关于做好2019年度财政支出绩效评价工作的通知》（永财绩函〔2020〕39号），我</w:t>
      </w:r>
      <w:r>
        <w:rPr>
          <w:rFonts w:hint="eastAsia" w:ascii="仿宋_GB2312" w:hAnsi="ˎ̥" w:eastAsia="仿宋_GB2312" w:cs="宋体"/>
          <w:color w:val="000000" w:themeColor="text1"/>
          <w:kern w:val="0"/>
          <w:sz w:val="32"/>
          <w:szCs w:val="32"/>
          <w:lang w:eastAsia="zh-CN"/>
          <w14:textFill>
            <w14:solidFill>
              <w14:schemeClr w14:val="tx1"/>
            </w14:solidFill>
          </w14:textFill>
        </w:rPr>
        <w:t>机关</w:t>
      </w:r>
      <w:r>
        <w:rPr>
          <w:rFonts w:hint="eastAsia" w:ascii="仿宋_GB2312" w:hAnsi="ˎ̥" w:eastAsia="仿宋_GB2312" w:cs="宋体"/>
          <w:color w:val="000000" w:themeColor="text1"/>
          <w:kern w:val="0"/>
          <w:sz w:val="32"/>
          <w:szCs w:val="32"/>
          <w14:textFill>
            <w14:solidFill>
              <w14:schemeClr w14:val="tx1"/>
            </w14:solidFill>
          </w14:textFill>
        </w:rPr>
        <w:t>对2019年度部门整体支出绩效进行了全面综合评价。2019年度我机关部门整体支出绩效自评</w:t>
      </w:r>
      <w:r>
        <w:rPr>
          <w:rFonts w:hint="eastAsia" w:ascii="仿宋_GB2312" w:hAnsi="ˎ̥" w:eastAsia="仿宋_GB2312" w:cs="宋体"/>
          <w:color w:val="000000" w:themeColor="text1"/>
          <w:kern w:val="0"/>
          <w:sz w:val="32"/>
          <w:szCs w:val="32"/>
          <w:lang w:eastAsia="zh-CN"/>
          <w14:textFill>
            <w14:solidFill>
              <w14:schemeClr w14:val="tx1"/>
            </w14:solidFill>
          </w14:textFill>
        </w:rPr>
        <w:t>得</w:t>
      </w:r>
      <w:r>
        <w:rPr>
          <w:rFonts w:hint="eastAsia" w:ascii="仿宋_GB2312" w:hAnsi="ˎ̥" w:eastAsia="仿宋_GB2312" w:cs="宋体"/>
          <w:color w:val="000000" w:themeColor="text1"/>
          <w:kern w:val="0"/>
          <w:sz w:val="32"/>
          <w:szCs w:val="32"/>
          <w14:textFill>
            <w14:solidFill>
              <w14:schemeClr w14:val="tx1"/>
            </w14:solidFill>
          </w14:textFill>
        </w:rPr>
        <w:t>分</w:t>
      </w:r>
      <w:r>
        <w:rPr>
          <w:rFonts w:hint="eastAsia" w:ascii="仿宋_GB2312" w:hAnsi="ˎ̥" w:eastAsia="仿宋_GB2312" w:cs="宋体"/>
          <w:color w:val="000000" w:themeColor="text1"/>
          <w:kern w:val="0"/>
          <w:sz w:val="32"/>
          <w:szCs w:val="32"/>
          <w:lang w:val="en-US" w:eastAsia="zh-CN"/>
          <w14:textFill>
            <w14:solidFill>
              <w14:schemeClr w14:val="tx1"/>
            </w14:solidFill>
          </w14:textFill>
        </w:rPr>
        <w:t>93.5</w:t>
      </w:r>
      <w:r>
        <w:rPr>
          <w:rFonts w:hint="eastAsia" w:ascii="仿宋_GB2312" w:hAnsi="ˎ̥" w:eastAsia="仿宋_GB2312" w:cs="宋体"/>
          <w:color w:val="000000" w:themeColor="text1"/>
          <w:kern w:val="0"/>
          <w:sz w:val="32"/>
          <w:szCs w:val="32"/>
          <w14:textFill>
            <w14:solidFill>
              <w14:schemeClr w14:val="tx1"/>
            </w14:solidFill>
          </w14:textFill>
        </w:rPr>
        <w:t>分</w:t>
      </w:r>
      <w:r>
        <w:rPr>
          <w:rFonts w:hint="eastAsia" w:ascii="仿宋_GB2312" w:hAnsi="ˎ̥" w:eastAsia="仿宋_GB2312" w:cs="宋体"/>
          <w:color w:val="000000" w:themeColor="text1"/>
          <w:kern w:val="0"/>
          <w:sz w:val="32"/>
          <w:szCs w:val="32"/>
          <w:lang w:eastAsia="zh-CN"/>
          <w14:textFill>
            <w14:solidFill>
              <w14:schemeClr w14:val="tx1"/>
            </w14:solidFill>
          </w14:textFill>
        </w:rPr>
        <w:t>。</w:t>
      </w:r>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lang w:val="en-US" w:eastAsia="zh-CN"/>
        </w:rPr>
        <w:t>2019年度</w:t>
      </w:r>
      <w:r>
        <w:rPr>
          <w:rFonts w:hint="eastAsia" w:ascii="方正小标宋_GBK" w:hAnsi="宋体" w:eastAsia="方正小标宋_GBK" w:cs="宋体"/>
          <w:kern w:val="0"/>
          <w:sz w:val="36"/>
          <w:szCs w:val="36"/>
        </w:rPr>
        <w:t>部门整体支出绩效评价指标</w:t>
      </w:r>
      <w:r>
        <w:rPr>
          <w:rFonts w:hint="eastAsia" w:ascii="方正小标宋_GBK" w:hAnsi="宋体" w:eastAsia="方正小标宋_GBK" w:cs="宋体"/>
          <w:kern w:val="0"/>
          <w:sz w:val="36"/>
          <w:szCs w:val="36"/>
          <w:lang w:eastAsia="zh-CN"/>
        </w:rPr>
        <w:t>评分</w:t>
      </w:r>
      <w:r>
        <w:rPr>
          <w:rFonts w:hint="eastAsia" w:ascii="方正小标宋_GBK" w:hAnsi="宋体" w:eastAsia="方正小标宋_GBK" w:cs="宋体"/>
          <w:kern w:val="0"/>
          <w:sz w:val="36"/>
          <w:szCs w:val="36"/>
        </w:rPr>
        <w:t>表</w:t>
      </w:r>
    </w:p>
    <w:p>
      <w:pPr>
        <w:spacing w:line="560" w:lineRule="exact"/>
        <w:jc w:val="left"/>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b w:val="0"/>
          <w:bCs w:val="0"/>
          <w:kern w:val="0"/>
          <w:sz w:val="21"/>
          <w:szCs w:val="21"/>
          <w:lang w:eastAsia="zh-CN"/>
        </w:rPr>
        <w:t>填报单位（盖章）：</w:t>
      </w:r>
      <w:r>
        <w:rPr>
          <w:rFonts w:hint="eastAsia" w:ascii="仿宋_GB2312" w:hAnsi="ˎ̥"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ˎ̥" w:eastAsia="仿宋_GB2312" w:cs="宋体"/>
          <w:color w:val="000000" w:themeColor="text1"/>
          <w:kern w:val="0"/>
          <w:sz w:val="24"/>
          <w:szCs w:val="24"/>
          <w:lang w:val="en-US" w:eastAsia="zh-CN"/>
          <w14:textFill>
            <w14:solidFill>
              <w14:schemeClr w14:val="tx1"/>
            </w14:solidFill>
          </w14:textFill>
        </w:rPr>
        <w:t>中共永兴县委宣传部</w:t>
      </w:r>
    </w:p>
    <w:tbl>
      <w:tblPr>
        <w:tblStyle w:val="5"/>
        <w:tblW w:w="10093" w:type="dxa"/>
        <w:jc w:val="center"/>
        <w:tblLayout w:type="fixed"/>
        <w:tblCellMar>
          <w:top w:w="0" w:type="dxa"/>
          <w:left w:w="108" w:type="dxa"/>
          <w:bottom w:w="0" w:type="dxa"/>
          <w:right w:w="108" w:type="dxa"/>
        </w:tblCellMar>
      </w:tblPr>
      <w:tblGrid>
        <w:gridCol w:w="488"/>
        <w:gridCol w:w="542"/>
        <w:gridCol w:w="700"/>
        <w:gridCol w:w="613"/>
        <w:gridCol w:w="913"/>
        <w:gridCol w:w="602"/>
        <w:gridCol w:w="3030"/>
        <w:gridCol w:w="2481"/>
        <w:gridCol w:w="724"/>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724"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w:t>
            </w:r>
            <w:r>
              <w:rPr>
                <w:rFonts w:hint="eastAsia" w:ascii="仿宋_GB2312" w:hAnsi="宋体" w:cs="宋体"/>
                <w:kern w:val="0"/>
                <w:sz w:val="20"/>
                <w:szCs w:val="20"/>
                <w:lang w:eastAsia="zh-CN"/>
              </w:rPr>
              <w:t>局</w:t>
            </w:r>
            <w:r>
              <w:rPr>
                <w:rFonts w:hint="eastAsia" w:ascii="仿宋_GB2312" w:hAnsi="宋体" w:cs="宋体"/>
                <w:kern w:val="0"/>
                <w:sz w:val="20"/>
                <w:szCs w:val="20"/>
              </w:rPr>
              <w:t>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4</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color w:val="auto"/>
                <w:kern w:val="0"/>
                <w:sz w:val="20"/>
                <w:szCs w:val="20"/>
              </w:rPr>
              <w:t>“三公经费”变动率</w:t>
            </w:r>
            <w:r>
              <w:rPr>
                <w:rFonts w:hint="eastAsia" w:ascii="仿宋_GB2312" w:hAnsi="宋体" w:cs="宋体"/>
                <w:color w:val="auto"/>
                <w:kern w:val="0"/>
                <w:sz w:val="20"/>
                <w:szCs w:val="20"/>
                <w:lang w:val="en-US" w:eastAsia="zh-CN"/>
              </w:rPr>
              <w:t>-7%以上</w:t>
            </w:r>
            <w:r>
              <w:rPr>
                <w:rFonts w:hint="eastAsia" w:ascii="仿宋_GB2312" w:hAnsi="宋体" w:cs="宋体"/>
                <w:color w:val="auto"/>
                <w:kern w:val="0"/>
                <w:sz w:val="20"/>
                <w:szCs w:val="20"/>
              </w:rPr>
              <w:t>,计8分；“三公经费”变动率</w:t>
            </w:r>
            <w:r>
              <w:rPr>
                <w:rFonts w:hint="default" w:ascii="Times New Roman" w:hAnsi="Times New Roman" w:cs="Times New Roman"/>
                <w:color w:val="auto"/>
                <w:kern w:val="0"/>
                <w:sz w:val="20"/>
                <w:szCs w:val="20"/>
              </w:rPr>
              <w:t>&lt;</w:t>
            </w:r>
            <w:r>
              <w:rPr>
                <w:rFonts w:hint="eastAsia" w:ascii="仿宋_GB2312" w:hAnsi="宋体" w:cs="宋体"/>
                <w:color w:val="auto"/>
                <w:kern w:val="0"/>
                <w:sz w:val="20"/>
                <w:szCs w:val="20"/>
                <w:lang w:val="en-US" w:eastAsia="zh-CN"/>
              </w:rPr>
              <w:t>-7%</w:t>
            </w:r>
            <w:r>
              <w:rPr>
                <w:rFonts w:hint="eastAsia" w:ascii="仿宋_GB2312" w:hAnsi="宋体" w:cs="宋体"/>
                <w:color w:val="auto"/>
                <w:kern w:val="0"/>
                <w:sz w:val="20"/>
                <w:szCs w:val="20"/>
              </w:rPr>
              <w:t>，每超过一个百分点扣0.8分，扣完为止。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lang w:val="en-US" w:eastAsia="zh-CN"/>
              </w:rPr>
              <w:t>8</w:t>
            </w:r>
            <w:r>
              <w:rPr>
                <w:rFonts w:hint="eastAsia" w:ascii="仿宋_GB2312" w:hAnsi="宋体" w:cs="宋体"/>
                <w:kern w:val="0"/>
                <w:sz w:val="20"/>
                <w:szCs w:val="20"/>
              </w:rPr>
              <w:t>　</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4</w:t>
            </w:r>
          </w:p>
        </w:tc>
      </w:tr>
      <w:tr>
        <w:tblPrEx>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jc w:val="center"/>
              <w:rPr>
                <w:rFonts w:hint="eastAsia" w:ascii="仿宋_GB2312" w:hAnsi="宋体" w:cs="宋体"/>
                <w:color w:val="auto"/>
                <w:kern w:val="0"/>
                <w:sz w:val="20"/>
                <w:szCs w:val="20"/>
              </w:rPr>
            </w:pPr>
            <w:r>
              <w:rPr>
                <w:rFonts w:ascii="Times New Roman" w:hAnsi="Times New Roman" w:cs="Times New Roman"/>
                <w:color w:val="auto"/>
                <w:sz w:val="18"/>
                <w:szCs w:val="18"/>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lang w:val="en-US" w:eastAsia="zh-CN"/>
              </w:rPr>
              <w:t>5</w:t>
            </w:r>
          </w:p>
        </w:tc>
        <w:tc>
          <w:tcPr>
            <w:tcW w:w="3030" w:type="dxa"/>
            <w:tcBorders>
              <w:top w:val="nil"/>
              <w:left w:val="nil"/>
              <w:bottom w:val="single" w:color="auto" w:sz="4" w:space="0"/>
              <w:right w:val="single" w:color="auto" w:sz="4" w:space="0"/>
            </w:tcBorders>
            <w:noWrap w:val="0"/>
            <w:vAlign w:val="center"/>
          </w:tcPr>
          <w:p>
            <w:pPr>
              <w:jc w:val="both"/>
              <w:rPr>
                <w:rFonts w:hint="eastAsia" w:ascii="仿宋_GB2312" w:hAnsi="宋体" w:cs="宋体"/>
                <w:color w:val="auto"/>
                <w:kern w:val="0"/>
                <w:sz w:val="20"/>
                <w:szCs w:val="20"/>
              </w:rPr>
            </w:pPr>
            <w:r>
              <w:rPr>
                <w:rFonts w:ascii="Times New Roman" w:hAnsi="Times New Roman" w:cs="Times New Roman"/>
                <w:color w:val="auto"/>
                <w:sz w:val="18"/>
                <w:szCs w:val="18"/>
              </w:rPr>
              <w:t>结转结余</w:t>
            </w:r>
            <w:r>
              <w:rPr>
                <w:rFonts w:hint="eastAsia" w:ascii="仿宋_GB2312" w:hAnsi="宋体" w:cs="宋体"/>
                <w:color w:val="auto"/>
                <w:kern w:val="0"/>
                <w:sz w:val="20"/>
                <w:szCs w:val="20"/>
              </w:rPr>
              <w:t>变动率≦0,计</w:t>
            </w:r>
            <w:r>
              <w:rPr>
                <w:rFonts w:hint="eastAsia" w:ascii="仿宋_GB2312" w:hAnsi="宋体" w:cs="宋体"/>
                <w:color w:val="auto"/>
                <w:kern w:val="0"/>
                <w:sz w:val="20"/>
                <w:szCs w:val="20"/>
                <w:lang w:val="en-US" w:eastAsia="zh-CN"/>
              </w:rPr>
              <w:t>5</w:t>
            </w:r>
            <w:r>
              <w:rPr>
                <w:rFonts w:hint="eastAsia" w:ascii="仿宋_GB2312" w:hAnsi="宋体" w:cs="宋体"/>
                <w:color w:val="auto"/>
                <w:kern w:val="0"/>
                <w:sz w:val="20"/>
                <w:szCs w:val="20"/>
              </w:rPr>
              <w:t>分；</w:t>
            </w:r>
            <w:r>
              <w:rPr>
                <w:rFonts w:ascii="Times New Roman" w:hAnsi="Times New Roman" w:cs="Times New Roman"/>
                <w:color w:val="auto"/>
                <w:sz w:val="18"/>
                <w:szCs w:val="18"/>
              </w:rPr>
              <w:t>结转结余</w:t>
            </w:r>
            <w:r>
              <w:rPr>
                <w:rFonts w:hint="eastAsia" w:ascii="仿宋_GB2312" w:hAnsi="宋体" w:cs="宋体"/>
                <w:color w:val="auto"/>
                <w:kern w:val="0"/>
                <w:sz w:val="20"/>
                <w:szCs w:val="20"/>
              </w:rPr>
              <w:t>变动率＞0，每超过一个百分点扣0.</w:t>
            </w:r>
            <w:r>
              <w:rPr>
                <w:rFonts w:hint="eastAsia" w:ascii="仿宋_GB2312" w:hAnsi="宋体" w:cs="宋体"/>
                <w:color w:val="auto"/>
                <w:kern w:val="0"/>
                <w:sz w:val="20"/>
                <w:szCs w:val="20"/>
                <w:lang w:val="en-US" w:eastAsia="zh-CN"/>
              </w:rPr>
              <w:t>5</w:t>
            </w:r>
            <w:r>
              <w:rPr>
                <w:rFonts w:hint="eastAsia" w:ascii="仿宋_GB2312" w:hAnsi="宋体" w:cs="宋体"/>
                <w:color w:val="auto"/>
                <w:kern w:val="0"/>
                <w:sz w:val="20"/>
                <w:szCs w:val="20"/>
              </w:rPr>
              <w:t>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ascii="Times New Roman" w:hAnsi="Times New Roman" w:cs="Times New Roman"/>
                <w:color w:val="auto"/>
                <w:sz w:val="18"/>
                <w:szCs w:val="18"/>
              </w:rPr>
              <w:t>结转结余变动率=[（本年度累计结转结余资金总额-上年度累计结转结余资金总额）/上年度累计结转结余资金总额]×100%。</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4.5</w:t>
            </w:r>
          </w:p>
        </w:tc>
      </w:tr>
      <w:tr>
        <w:tblPrEx>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楼堂馆所面积控制率=实际建设面积/批准建设面积×100% 。</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该指标以201</w:t>
            </w:r>
            <w:r>
              <w:rPr>
                <w:rFonts w:hint="eastAsia" w:ascii="仿宋_GB2312" w:hAnsi="宋体" w:cs="宋体"/>
                <w:color w:val="auto"/>
                <w:kern w:val="0"/>
                <w:sz w:val="20"/>
                <w:szCs w:val="20"/>
                <w:lang w:val="en-US" w:eastAsia="zh-CN"/>
              </w:rPr>
              <w:t>9</w:t>
            </w:r>
            <w:r>
              <w:rPr>
                <w:rFonts w:hint="eastAsia" w:ascii="仿宋_GB2312" w:hAnsi="宋体" w:cs="宋体"/>
                <w:color w:val="auto"/>
                <w:kern w:val="0"/>
                <w:sz w:val="20"/>
                <w:szCs w:val="20"/>
              </w:rPr>
              <w:t>年完工的新建楼堂馆所为评价内容。</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jc w:val="both"/>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lang w:val="en-US" w:eastAsia="zh-CN"/>
              </w:rPr>
              <w:t>8</w:t>
            </w:r>
            <w:r>
              <w:rPr>
                <w:rFonts w:hint="eastAsia" w:ascii="仿宋_GB2312" w:hAnsi="宋体" w:cs="宋体"/>
                <w:kern w:val="0"/>
                <w:sz w:val="20"/>
                <w:szCs w:val="20"/>
              </w:rPr>
              <w:t>　</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2</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lang w:val="en-US" w:eastAsia="zh-CN"/>
              </w:rPr>
              <w:t>6</w:t>
            </w:r>
            <w:r>
              <w:rPr>
                <w:rFonts w:hint="eastAsia" w:ascii="仿宋_GB2312" w:hAnsi="宋体" w:cs="宋体"/>
                <w:kern w:val="0"/>
                <w:sz w:val="20"/>
                <w:szCs w:val="20"/>
              </w:rPr>
              <w:t>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w:t>
            </w:r>
            <w:r>
              <w:rPr>
                <w:rFonts w:hint="eastAsia" w:ascii="仿宋_GB2312" w:hAnsi="宋体" w:cs="宋体"/>
                <w:kern w:val="0"/>
                <w:sz w:val="20"/>
                <w:szCs w:val="20"/>
                <w:lang w:eastAsia="zh-CN"/>
              </w:rPr>
              <w:t>和“三公经费”</w:t>
            </w:r>
            <w:r>
              <w:rPr>
                <w:rFonts w:hint="eastAsia" w:ascii="仿宋_GB2312" w:hAnsi="宋体" w:cs="宋体"/>
                <w:kern w:val="0"/>
                <w:sz w:val="20"/>
                <w:szCs w:val="20"/>
              </w:rPr>
              <w:t>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办201</w:t>
            </w:r>
            <w:r>
              <w:rPr>
                <w:rFonts w:hint="eastAsia" w:ascii="仿宋_GB2312" w:hAnsi="宋体" w:cs="宋体"/>
                <w:kern w:val="0"/>
                <w:sz w:val="20"/>
                <w:szCs w:val="20"/>
                <w:lang w:val="en-US" w:eastAsia="zh-CN"/>
              </w:rPr>
              <w:t>9</w:t>
            </w:r>
            <w:r>
              <w:rPr>
                <w:rFonts w:hint="eastAsia" w:ascii="仿宋_GB2312" w:hAnsi="宋体" w:cs="宋体"/>
                <w:kern w:val="0"/>
                <w:sz w:val="20"/>
                <w:szCs w:val="20"/>
              </w:rPr>
              <w:t>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办对应部分考核得分/</w:t>
            </w:r>
            <w:r>
              <w:rPr>
                <w:rFonts w:hint="eastAsia" w:ascii="仿宋_GB2312" w:hAnsi="宋体" w:cs="宋体"/>
                <w:kern w:val="0"/>
                <w:sz w:val="20"/>
                <w:szCs w:val="20"/>
                <w:lang w:val="en-US" w:eastAsia="zh-CN"/>
              </w:rPr>
              <w:t>100</w:t>
            </w:r>
            <w:r>
              <w:rPr>
                <w:rFonts w:hint="eastAsia" w:ascii="仿宋_GB2312" w:hAnsi="宋体" w:cs="宋体"/>
                <w:kern w:val="0"/>
                <w:sz w:val="20"/>
                <w:szCs w:val="20"/>
              </w:rPr>
              <w:t>）*8</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724" w:type="dxa"/>
            <w:vMerge w:val="restart"/>
            <w:tcBorders>
              <w:top w:val="nil"/>
              <w:left w:val="nil"/>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p>
        </w:tc>
        <w:tc>
          <w:tcPr>
            <w:tcW w:w="724" w:type="dxa"/>
            <w:vMerge w:val="continue"/>
            <w:tcBorders>
              <w:left w:val="nil"/>
              <w:bottom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724"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72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93.5</w:t>
            </w:r>
          </w:p>
        </w:tc>
      </w:tr>
    </w:tbl>
    <w:p/>
    <w:p>
      <w:pPr>
        <w:widowControl/>
        <w:shd w:val="clear" w:color="auto" w:fill="FFFFFF"/>
        <w:spacing w:line="560" w:lineRule="exact"/>
        <w:ind w:firstLine="480"/>
        <w:rPr>
          <w:rFonts w:hint="eastAsia" w:ascii="仿宋_GB2312" w:hAnsi="ˎ̥" w:eastAsia="仿宋_GB2312" w:cs="宋体"/>
          <w:color w:val="000000" w:themeColor="text1"/>
          <w:kern w:val="0"/>
          <w:sz w:val="32"/>
          <w:szCs w:val="32"/>
          <w14:textFill>
            <w14:solidFill>
              <w14:schemeClr w14:val="tx1"/>
            </w14:solidFill>
          </w14:textFill>
        </w:rPr>
      </w:pPr>
    </w:p>
    <w:p>
      <w:pPr>
        <w:widowControl/>
        <w:shd w:val="clear" w:color="auto" w:fill="FFFFFF"/>
        <w:spacing w:line="560" w:lineRule="exact"/>
        <w:ind w:firstLine="480"/>
        <w:jc w:val="right"/>
        <w:rPr>
          <w:rFonts w:hint="eastAsia" w:ascii="仿宋_GB2312" w:hAnsi="ˎ̥" w:eastAsia="仿宋_GB2312" w:cs="宋体"/>
          <w:color w:val="000000" w:themeColor="text1"/>
          <w:kern w:val="0"/>
          <w:sz w:val="32"/>
          <w:szCs w:val="32"/>
          <w:lang w:val="en-US" w:eastAsia="zh-CN"/>
          <w14:textFill>
            <w14:solidFill>
              <w14:schemeClr w14:val="tx1"/>
            </w14:solidFill>
          </w14:textFill>
        </w:rPr>
      </w:pPr>
      <w:r>
        <w:rPr>
          <w:rFonts w:hint="eastAsia" w:ascii="仿宋_GB2312" w:hAnsi="ˎ̥" w:eastAsia="仿宋_GB2312" w:cs="宋体"/>
          <w:color w:val="000000" w:themeColor="text1"/>
          <w:kern w:val="0"/>
          <w:sz w:val="32"/>
          <w:szCs w:val="32"/>
          <w:lang w:val="en-US" w:eastAsia="zh-CN"/>
          <w14:textFill>
            <w14:solidFill>
              <w14:schemeClr w14:val="tx1"/>
            </w14:solidFill>
          </w14:textFill>
        </w:rPr>
        <w:t xml:space="preserve">  中共永兴县委宣传部</w:t>
      </w:r>
    </w:p>
    <w:p>
      <w:pPr>
        <w:widowControl/>
        <w:shd w:val="clear" w:color="auto" w:fill="FFFFFF"/>
        <w:spacing w:line="560" w:lineRule="exact"/>
        <w:ind w:firstLine="480"/>
        <w:jc w:val="center"/>
        <w:rPr>
          <w:rFonts w:hint="eastAsia" w:ascii="仿宋_GB2312" w:hAnsi="ˎ̥" w:eastAsia="仿宋_GB2312" w:cs="宋体"/>
          <w:color w:val="000000" w:themeColor="text1"/>
          <w:kern w:val="0"/>
          <w:sz w:val="32"/>
          <w:szCs w:val="32"/>
          <w14:textFill>
            <w14:solidFill>
              <w14:schemeClr w14:val="tx1"/>
            </w14:solidFill>
          </w14:textFill>
        </w:rPr>
      </w:pPr>
      <w:r>
        <w:rPr>
          <w:rFonts w:hint="eastAsia" w:ascii="仿宋_GB2312" w:hAnsi="ˎ̥" w:eastAsia="仿宋_GB2312" w:cs="宋体"/>
          <w:color w:val="000000" w:themeColor="text1"/>
          <w:kern w:val="0"/>
          <w:sz w:val="32"/>
          <w:szCs w:val="32"/>
          <w:lang w:val="en-US" w:eastAsia="zh-CN"/>
          <w14:textFill>
            <w14:solidFill>
              <w14:schemeClr w14:val="tx1"/>
            </w14:solidFill>
          </w14:textFill>
        </w:rPr>
        <w:t xml:space="preserve">                     </w:t>
      </w:r>
      <w:bookmarkStart w:id="1" w:name="_GoBack"/>
      <w:bookmarkEnd w:id="1"/>
      <w:r>
        <w:rPr>
          <w:rFonts w:hint="eastAsia" w:ascii="仿宋_GB2312" w:hAnsi="ˎ̥"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ˎ̥" w:eastAsia="仿宋_GB2312" w:cs="宋体"/>
          <w:color w:val="000000" w:themeColor="text1"/>
          <w:kern w:val="0"/>
          <w:sz w:val="32"/>
          <w:szCs w:val="32"/>
          <w14:textFill>
            <w14:solidFill>
              <w14:schemeClr w14:val="tx1"/>
            </w14:solidFill>
          </w14:textFill>
        </w:rPr>
        <w:t>2020年6月8日</w:t>
      </w:r>
      <w:bookmarkEnd w:id="0"/>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报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9508"/>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0C"/>
    <w:rsid w:val="00023DD4"/>
    <w:rsid w:val="00026032"/>
    <w:rsid w:val="000B429D"/>
    <w:rsid w:val="000C1115"/>
    <w:rsid w:val="000D0005"/>
    <w:rsid w:val="0015230C"/>
    <w:rsid w:val="00171450"/>
    <w:rsid w:val="001C5A78"/>
    <w:rsid w:val="00225443"/>
    <w:rsid w:val="002A5453"/>
    <w:rsid w:val="002C0346"/>
    <w:rsid w:val="002F2424"/>
    <w:rsid w:val="0030281D"/>
    <w:rsid w:val="00326069"/>
    <w:rsid w:val="003345E9"/>
    <w:rsid w:val="00334DD8"/>
    <w:rsid w:val="00347D0B"/>
    <w:rsid w:val="003607D2"/>
    <w:rsid w:val="00364566"/>
    <w:rsid w:val="003A5511"/>
    <w:rsid w:val="00445C48"/>
    <w:rsid w:val="0046534D"/>
    <w:rsid w:val="00504DCE"/>
    <w:rsid w:val="00520C4B"/>
    <w:rsid w:val="0054657A"/>
    <w:rsid w:val="005A770B"/>
    <w:rsid w:val="00625D03"/>
    <w:rsid w:val="00660E41"/>
    <w:rsid w:val="007030B6"/>
    <w:rsid w:val="0071488A"/>
    <w:rsid w:val="00732C11"/>
    <w:rsid w:val="007352F5"/>
    <w:rsid w:val="0074706F"/>
    <w:rsid w:val="007471BC"/>
    <w:rsid w:val="007561CA"/>
    <w:rsid w:val="00785F0A"/>
    <w:rsid w:val="007C363C"/>
    <w:rsid w:val="008249B4"/>
    <w:rsid w:val="00830330"/>
    <w:rsid w:val="0083687A"/>
    <w:rsid w:val="008D03C5"/>
    <w:rsid w:val="008E0686"/>
    <w:rsid w:val="008F35C2"/>
    <w:rsid w:val="0092111A"/>
    <w:rsid w:val="00925792"/>
    <w:rsid w:val="00942ECC"/>
    <w:rsid w:val="00944104"/>
    <w:rsid w:val="009D312C"/>
    <w:rsid w:val="00A05EBD"/>
    <w:rsid w:val="00A279A7"/>
    <w:rsid w:val="00A34578"/>
    <w:rsid w:val="00A42CBB"/>
    <w:rsid w:val="00A94636"/>
    <w:rsid w:val="00AB543E"/>
    <w:rsid w:val="00AC6491"/>
    <w:rsid w:val="00AD3256"/>
    <w:rsid w:val="00AE22B5"/>
    <w:rsid w:val="00B0143B"/>
    <w:rsid w:val="00B36449"/>
    <w:rsid w:val="00B44F96"/>
    <w:rsid w:val="00B568DC"/>
    <w:rsid w:val="00B674B7"/>
    <w:rsid w:val="00B70327"/>
    <w:rsid w:val="00B7250E"/>
    <w:rsid w:val="00BD1F5C"/>
    <w:rsid w:val="00BF0C7F"/>
    <w:rsid w:val="00C16CE0"/>
    <w:rsid w:val="00C40E59"/>
    <w:rsid w:val="00C52DBC"/>
    <w:rsid w:val="00C63DDF"/>
    <w:rsid w:val="00C754EC"/>
    <w:rsid w:val="00C82C36"/>
    <w:rsid w:val="00C84668"/>
    <w:rsid w:val="00CB4EDC"/>
    <w:rsid w:val="00CB570C"/>
    <w:rsid w:val="00CE25DD"/>
    <w:rsid w:val="00CF203D"/>
    <w:rsid w:val="00D0360C"/>
    <w:rsid w:val="00D607B3"/>
    <w:rsid w:val="00D96E45"/>
    <w:rsid w:val="00E23F7C"/>
    <w:rsid w:val="00EA77F1"/>
    <w:rsid w:val="00EE0143"/>
    <w:rsid w:val="00F1533A"/>
    <w:rsid w:val="00F6154E"/>
    <w:rsid w:val="00F80700"/>
    <w:rsid w:val="00FD1946"/>
    <w:rsid w:val="00FD1EDA"/>
    <w:rsid w:val="04283EF5"/>
    <w:rsid w:val="052D5F7F"/>
    <w:rsid w:val="10C61372"/>
    <w:rsid w:val="1986759D"/>
    <w:rsid w:val="1A7237AC"/>
    <w:rsid w:val="2BA2281C"/>
    <w:rsid w:val="2CDD3B68"/>
    <w:rsid w:val="2F562944"/>
    <w:rsid w:val="34FB47B9"/>
    <w:rsid w:val="377659DB"/>
    <w:rsid w:val="3DF73E70"/>
    <w:rsid w:val="4E3E5B55"/>
    <w:rsid w:val="4F0116F6"/>
    <w:rsid w:val="53D644A9"/>
    <w:rsid w:val="5F661289"/>
    <w:rsid w:val="7FF71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99"/>
    <w:pPr>
      <w:ind w:firstLine="420" w:firstLineChars="200"/>
    </w:pPr>
    <w:rPr>
      <w:rFonts w:ascii="Calibri" w:hAnsi="Calibri" w:eastAsia="宋体" w:cs="Times New Roman"/>
      <w:szCs w:val="24"/>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659</Words>
  <Characters>3762</Characters>
  <Lines>31</Lines>
  <Paragraphs>8</Paragraphs>
  <TotalTime>3</TotalTime>
  <ScaleCrop>false</ScaleCrop>
  <LinksUpToDate>false</LinksUpToDate>
  <CharactersWithSpaces>4413</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2019-07-08T23:24:00Z</dcterms:created>
  <dc:creator>Administrator</dc:creator>
  <cp:lastModifiedBy>Administrator</cp:lastModifiedBy>
  <cp:lastPrinted>2020-06-22T02:54:00Z</cp:lastPrinted>
  <dcterms:modified xsi:type="dcterms:W3CDTF">2020-10-28T05:28:30Z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