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5B" w:rsidRPr="0071245B" w:rsidRDefault="00317FA3" w:rsidP="0071245B">
      <w:pPr>
        <w:spacing w:line="560" w:lineRule="exact"/>
        <w:jc w:val="center"/>
        <w:rPr>
          <w:rFonts w:eastAsia="黑体"/>
          <w:sz w:val="36"/>
          <w:szCs w:val="36"/>
        </w:rPr>
      </w:pPr>
      <w:r>
        <w:rPr>
          <w:rFonts w:eastAsia="黑体" w:hint="eastAsia"/>
          <w:sz w:val="36"/>
          <w:szCs w:val="36"/>
        </w:rPr>
        <w:t>永兴县人力资源服务中心</w:t>
      </w:r>
    </w:p>
    <w:p w:rsidR="0071245B" w:rsidRDefault="0071245B" w:rsidP="0071245B">
      <w:pPr>
        <w:spacing w:line="560" w:lineRule="exact"/>
        <w:jc w:val="center"/>
        <w:rPr>
          <w:rFonts w:eastAsia="黑体"/>
          <w:sz w:val="36"/>
          <w:szCs w:val="36"/>
        </w:rPr>
      </w:pPr>
      <w:r w:rsidRPr="0071245B">
        <w:rPr>
          <w:rFonts w:eastAsia="黑体" w:hint="eastAsia"/>
          <w:sz w:val="36"/>
          <w:szCs w:val="36"/>
        </w:rPr>
        <w:t>2019</w:t>
      </w:r>
      <w:r w:rsidRPr="0071245B">
        <w:rPr>
          <w:rFonts w:eastAsia="黑体" w:hint="eastAsia"/>
          <w:sz w:val="36"/>
          <w:szCs w:val="36"/>
        </w:rPr>
        <w:t>年度部门整体支出绩效评价报告</w:t>
      </w:r>
    </w:p>
    <w:p w:rsidR="0071245B" w:rsidRDefault="0071245B" w:rsidP="0071245B">
      <w:pPr>
        <w:spacing w:line="560" w:lineRule="exact"/>
        <w:jc w:val="center"/>
        <w:rPr>
          <w:rFonts w:eastAsia="黑体"/>
          <w:sz w:val="36"/>
          <w:szCs w:val="36"/>
        </w:rPr>
      </w:pPr>
    </w:p>
    <w:p w:rsidR="0071245B" w:rsidRPr="0071245B" w:rsidRDefault="0071245B" w:rsidP="0071245B">
      <w:pPr>
        <w:spacing w:line="560" w:lineRule="exact"/>
        <w:jc w:val="center"/>
        <w:rPr>
          <w:rFonts w:eastAsia="黑体"/>
          <w:sz w:val="36"/>
          <w:szCs w:val="36"/>
        </w:rPr>
      </w:pPr>
    </w:p>
    <w:p w:rsidR="0071245B" w:rsidRDefault="0071245B" w:rsidP="0071245B">
      <w:pPr>
        <w:pStyle w:val="Default"/>
        <w:ind w:firstLineChars="200" w:firstLine="560"/>
        <w:rPr>
          <w:rFonts w:ascii="仿宋_GB2312" w:eastAsia="仿宋_GB2312" w:hAnsi="??" w:cs="宋体"/>
          <w:sz w:val="28"/>
          <w:szCs w:val="28"/>
        </w:rPr>
      </w:pPr>
      <w:r w:rsidRPr="00F972F1">
        <w:rPr>
          <w:rFonts w:ascii="仿宋_GB2312" w:eastAsia="仿宋_GB2312" w:hAnsi="??" w:cs="宋体" w:hint="eastAsia"/>
          <w:sz w:val="28"/>
          <w:szCs w:val="28"/>
        </w:rPr>
        <w:t>根据《永兴县财政局关于做好</w:t>
      </w:r>
      <w:r w:rsidRPr="00F972F1">
        <w:rPr>
          <w:rFonts w:ascii="仿宋_GB2312" w:eastAsia="仿宋_GB2312" w:hAnsi="??" w:cs="宋体"/>
          <w:sz w:val="28"/>
          <w:szCs w:val="28"/>
        </w:rPr>
        <w:t>2019</w:t>
      </w:r>
      <w:r w:rsidRPr="00F972F1">
        <w:rPr>
          <w:rFonts w:ascii="仿宋_GB2312" w:eastAsia="仿宋_GB2312" w:hAnsi="??" w:cs="宋体" w:hint="eastAsia"/>
          <w:sz w:val="28"/>
          <w:szCs w:val="28"/>
        </w:rPr>
        <w:t>年度财政支出绩效评价工作的通知》（永财绩函〔</w:t>
      </w:r>
      <w:r w:rsidRPr="00F972F1">
        <w:rPr>
          <w:rFonts w:ascii="仿宋_GB2312" w:eastAsia="仿宋_GB2312" w:hAnsi="??" w:cs="宋体"/>
          <w:sz w:val="28"/>
          <w:szCs w:val="28"/>
        </w:rPr>
        <w:t>2020</w:t>
      </w:r>
      <w:r w:rsidRPr="00F972F1">
        <w:rPr>
          <w:rFonts w:ascii="仿宋_GB2312" w:eastAsia="仿宋_GB2312" w:hAnsi="??" w:cs="宋体" w:hint="eastAsia"/>
          <w:sz w:val="28"/>
          <w:szCs w:val="28"/>
        </w:rPr>
        <w:t>〕</w:t>
      </w:r>
      <w:r w:rsidRPr="00F972F1">
        <w:rPr>
          <w:rFonts w:ascii="仿宋_GB2312" w:eastAsia="仿宋_GB2312" w:hAnsi="??" w:cs="宋体"/>
          <w:sz w:val="28"/>
          <w:szCs w:val="28"/>
        </w:rPr>
        <w:t>39</w:t>
      </w:r>
      <w:r w:rsidRPr="00F972F1">
        <w:rPr>
          <w:rFonts w:ascii="仿宋_GB2312" w:eastAsia="仿宋_GB2312" w:hAnsi="??" w:cs="宋体" w:hint="eastAsia"/>
          <w:sz w:val="28"/>
          <w:szCs w:val="28"/>
        </w:rPr>
        <w:t>号），我单位对</w:t>
      </w:r>
      <w:r w:rsidRPr="00F972F1">
        <w:rPr>
          <w:rFonts w:ascii="仿宋_GB2312" w:eastAsia="仿宋_GB2312" w:hAnsi="??" w:cs="宋体"/>
          <w:sz w:val="28"/>
          <w:szCs w:val="28"/>
        </w:rPr>
        <w:t>2019</w:t>
      </w:r>
      <w:r>
        <w:rPr>
          <w:rFonts w:ascii="仿宋_GB2312" w:eastAsia="仿宋_GB2312" w:hAnsi="??" w:cs="宋体" w:hint="eastAsia"/>
          <w:sz w:val="28"/>
          <w:szCs w:val="28"/>
        </w:rPr>
        <w:t>年度部门整体支出绩效进行了全面综合评价，</w:t>
      </w:r>
      <w:r w:rsidRPr="00F972F1">
        <w:rPr>
          <w:rFonts w:ascii="仿宋_GB2312" w:eastAsia="仿宋_GB2312" w:hAnsi="??" w:cs="宋体"/>
          <w:sz w:val="28"/>
          <w:szCs w:val="28"/>
        </w:rPr>
        <w:t>2019</w:t>
      </w:r>
      <w:r w:rsidRPr="00F972F1">
        <w:rPr>
          <w:rFonts w:ascii="仿宋_GB2312" w:eastAsia="仿宋_GB2312" w:hAnsi="??" w:cs="宋体" w:hint="eastAsia"/>
          <w:sz w:val="28"/>
          <w:szCs w:val="28"/>
        </w:rPr>
        <w:t>年度我单位部门整体支出绩效自评得分</w:t>
      </w:r>
      <w:r w:rsidRPr="00F972F1">
        <w:rPr>
          <w:rFonts w:ascii="仿宋_GB2312" w:eastAsia="仿宋_GB2312" w:hAnsi="??" w:cs="宋体"/>
          <w:sz w:val="28"/>
          <w:szCs w:val="28"/>
        </w:rPr>
        <w:t>95.5</w:t>
      </w:r>
      <w:r w:rsidRPr="00F972F1">
        <w:rPr>
          <w:rFonts w:ascii="仿宋_GB2312" w:eastAsia="仿宋_GB2312" w:hAnsi="??" w:cs="宋体" w:hint="eastAsia"/>
          <w:sz w:val="28"/>
          <w:szCs w:val="28"/>
        </w:rPr>
        <w:t>分</w:t>
      </w:r>
      <w:r>
        <w:rPr>
          <w:rFonts w:ascii="仿宋_GB2312" w:eastAsia="仿宋_GB2312" w:hAnsi="??" w:cs="宋体" w:hint="eastAsia"/>
          <w:sz w:val="28"/>
          <w:szCs w:val="28"/>
        </w:rPr>
        <w:t>，并且已将绩效评价运用到</w:t>
      </w:r>
      <w:r w:rsidRPr="00F972F1">
        <w:rPr>
          <w:rFonts w:ascii="仿宋_GB2312" w:eastAsia="仿宋_GB2312" w:hAnsi="??" w:cs="宋体" w:hint="eastAsia"/>
          <w:sz w:val="28"/>
          <w:szCs w:val="28"/>
        </w:rPr>
        <w:t>单位整体运行管理中，对不足之处加以改进完善，提高单位整体支出绩效水平</w:t>
      </w:r>
      <w:r>
        <w:rPr>
          <w:rFonts w:ascii="仿宋_GB2312" w:eastAsia="仿宋_GB2312" w:hAnsi="??" w:cs="宋体" w:hint="eastAsia"/>
          <w:sz w:val="28"/>
          <w:szCs w:val="28"/>
        </w:rPr>
        <w:t>。</w:t>
      </w:r>
    </w:p>
    <w:p w:rsidR="0071245B" w:rsidRPr="0071245B" w:rsidRDefault="0071245B" w:rsidP="0071245B">
      <w:pPr>
        <w:spacing w:line="560" w:lineRule="exact"/>
        <w:jc w:val="center"/>
        <w:rPr>
          <w:rFonts w:eastAsia="黑体"/>
          <w:szCs w:val="32"/>
        </w:rPr>
      </w:pPr>
    </w:p>
    <w:p w:rsidR="0071245B" w:rsidRPr="0071245B" w:rsidRDefault="0071245B" w:rsidP="0071245B">
      <w:pPr>
        <w:spacing w:line="560" w:lineRule="exact"/>
        <w:jc w:val="center"/>
        <w:rPr>
          <w:rFonts w:ascii="方正小标宋_GBK" w:eastAsia="方正小标宋_GBK" w:hAnsi="宋体" w:cs="宋体"/>
          <w:kern w:val="0"/>
          <w:szCs w:val="32"/>
        </w:rPr>
      </w:pPr>
      <w:r w:rsidRPr="0071245B">
        <w:rPr>
          <w:rFonts w:ascii="方正小标宋_GBK" w:eastAsia="方正小标宋_GBK" w:hAnsi="宋体" w:cs="宋体" w:hint="eastAsia"/>
          <w:kern w:val="0"/>
          <w:szCs w:val="32"/>
        </w:rPr>
        <w:t>2019年度部门整体支出绩效评价指标评分表</w:t>
      </w:r>
    </w:p>
    <w:p w:rsidR="0071245B" w:rsidRDefault="0071245B" w:rsidP="0071245B">
      <w:pPr>
        <w:spacing w:line="560" w:lineRule="exact"/>
        <w:jc w:val="left"/>
        <w:rPr>
          <w:rFonts w:ascii="仿宋_GB2312" w:hAnsi="仿宋_GB2312" w:cs="仿宋_GB2312"/>
          <w:kern w:val="0"/>
          <w:sz w:val="21"/>
          <w:szCs w:val="21"/>
        </w:rPr>
      </w:pPr>
      <w:r>
        <w:rPr>
          <w:rFonts w:ascii="仿宋_GB2312" w:hAnsi="仿宋_GB2312" w:cs="仿宋_GB2312" w:hint="eastAsia"/>
          <w:kern w:val="0"/>
          <w:sz w:val="21"/>
          <w:szCs w:val="21"/>
        </w:rPr>
        <w:t>填报单位（盖章）：</w:t>
      </w:r>
    </w:p>
    <w:tbl>
      <w:tblPr>
        <w:tblW w:w="9936" w:type="dxa"/>
        <w:jc w:val="center"/>
        <w:tblLayout w:type="fixed"/>
        <w:tblLook w:val="0000"/>
      </w:tblPr>
      <w:tblGrid>
        <w:gridCol w:w="488"/>
        <w:gridCol w:w="542"/>
        <w:gridCol w:w="700"/>
        <w:gridCol w:w="613"/>
        <w:gridCol w:w="913"/>
        <w:gridCol w:w="602"/>
        <w:gridCol w:w="3030"/>
        <w:gridCol w:w="2387"/>
        <w:gridCol w:w="661"/>
      </w:tblGrid>
      <w:tr w:rsidR="0071245B" w:rsidTr="009F76BA">
        <w:trPr>
          <w:trHeight w:val="773"/>
          <w:tblHeader/>
          <w:jc w:val="center"/>
        </w:trPr>
        <w:tc>
          <w:tcPr>
            <w:tcW w:w="488" w:type="dxa"/>
            <w:tcBorders>
              <w:top w:val="single" w:sz="4" w:space="0" w:color="auto"/>
              <w:left w:val="single" w:sz="4" w:space="0" w:color="auto"/>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b/>
                <w:kern w:val="0"/>
                <w:sz w:val="20"/>
                <w:szCs w:val="20"/>
              </w:rPr>
            </w:pPr>
            <w:r>
              <w:rPr>
                <w:rFonts w:ascii="仿宋_GB2312" w:hAnsi="宋体" w:cs="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700"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二级指标</w:t>
            </w:r>
          </w:p>
        </w:tc>
        <w:tc>
          <w:tcPr>
            <w:tcW w:w="613"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913"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三级</w:t>
            </w:r>
          </w:p>
          <w:p w:rsidR="0071245B" w:rsidRDefault="0071245B" w:rsidP="009F76BA">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w:t>
            </w:r>
          </w:p>
        </w:tc>
        <w:tc>
          <w:tcPr>
            <w:tcW w:w="602"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3030"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评价标准</w:t>
            </w:r>
          </w:p>
        </w:tc>
        <w:tc>
          <w:tcPr>
            <w:tcW w:w="2387"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指标说明</w:t>
            </w:r>
          </w:p>
        </w:tc>
        <w:tc>
          <w:tcPr>
            <w:tcW w:w="661"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得分</w:t>
            </w:r>
          </w:p>
        </w:tc>
      </w:tr>
      <w:tr w:rsidR="0071245B" w:rsidTr="009F76BA">
        <w:trPr>
          <w:trHeight w:val="2158"/>
          <w:jc w:val="center"/>
        </w:trPr>
        <w:tc>
          <w:tcPr>
            <w:tcW w:w="488" w:type="dxa"/>
            <w:vMerge w:val="restart"/>
            <w:tcBorders>
              <w:top w:val="nil"/>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投入</w:t>
            </w:r>
          </w:p>
        </w:tc>
        <w:tc>
          <w:tcPr>
            <w:tcW w:w="542"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13</w:t>
            </w:r>
          </w:p>
        </w:tc>
        <w:tc>
          <w:tcPr>
            <w:tcW w:w="700" w:type="dxa"/>
            <w:vMerge w:val="restart"/>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预算配置</w:t>
            </w:r>
          </w:p>
        </w:tc>
        <w:tc>
          <w:tcPr>
            <w:tcW w:w="613"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13</w:t>
            </w: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在职人员控制率</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nil"/>
              <w:right w:val="nil"/>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以100%为标准。在职人员控制率≦100%，计5分；每超过一个百分点扣0.5分，扣完为止。</w:t>
            </w:r>
          </w:p>
        </w:tc>
        <w:tc>
          <w:tcPr>
            <w:tcW w:w="2387" w:type="dxa"/>
            <w:tcBorders>
              <w:top w:val="nil"/>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在职人员控制率=（在职人员数/编制数）×100%，在职人员数：部门（单位）实际在职人数，以财政局确定的部门决算编制口径为准。</w:t>
            </w:r>
            <w:r>
              <w:rPr>
                <w:rFonts w:ascii="仿宋_GB2312" w:hAnsi="宋体" w:cs="宋体" w:hint="eastAsia"/>
                <w:kern w:val="0"/>
                <w:sz w:val="20"/>
                <w:szCs w:val="20"/>
              </w:rPr>
              <w:br/>
              <w:t>编制数：机构编制部门核定批复的部门（单位）的人员编制数。</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2.5</w:t>
            </w:r>
          </w:p>
        </w:tc>
      </w:tr>
      <w:tr w:rsidR="0071245B" w:rsidTr="009F76BA">
        <w:trPr>
          <w:trHeight w:val="1382"/>
          <w:jc w:val="center"/>
        </w:trPr>
        <w:tc>
          <w:tcPr>
            <w:tcW w:w="488" w:type="dxa"/>
            <w:vMerge/>
            <w:tcBorders>
              <w:top w:val="nil"/>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“三公经费”变动率</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single" w:sz="4" w:space="0" w:color="auto"/>
              <w:left w:val="nil"/>
              <w:bottom w:val="single" w:sz="4" w:space="0" w:color="auto"/>
              <w:right w:val="single" w:sz="4" w:space="0" w:color="auto"/>
            </w:tcBorders>
            <w:vAlign w:val="center"/>
          </w:tcPr>
          <w:p w:rsidR="0071245B" w:rsidRPr="00392776" w:rsidRDefault="0071245B" w:rsidP="009F76BA">
            <w:pPr>
              <w:widowControl/>
              <w:spacing w:line="260" w:lineRule="exact"/>
              <w:jc w:val="left"/>
              <w:rPr>
                <w:rFonts w:ascii="仿宋_GB2312" w:hAnsi="宋体" w:cs="宋体"/>
                <w:color w:val="000000" w:themeColor="text1"/>
                <w:kern w:val="0"/>
                <w:sz w:val="20"/>
                <w:szCs w:val="20"/>
              </w:rPr>
            </w:pPr>
            <w:r w:rsidRPr="00392776">
              <w:rPr>
                <w:rFonts w:ascii="仿宋_GB2312" w:hAnsi="宋体" w:cs="宋体" w:hint="eastAsia"/>
                <w:color w:val="000000" w:themeColor="text1"/>
                <w:kern w:val="0"/>
                <w:sz w:val="20"/>
                <w:szCs w:val="20"/>
              </w:rPr>
              <w:t>“三公经费”变动率-7%以上,计8分；“三公经费”变动率</w:t>
            </w:r>
            <w:r w:rsidRPr="00392776">
              <w:rPr>
                <w:color w:val="000000" w:themeColor="text1"/>
                <w:kern w:val="0"/>
                <w:sz w:val="20"/>
                <w:szCs w:val="20"/>
              </w:rPr>
              <w:t>&lt;</w:t>
            </w:r>
            <w:r w:rsidRPr="00392776">
              <w:rPr>
                <w:rFonts w:ascii="仿宋_GB2312" w:hAnsi="宋体" w:cs="宋体" w:hint="eastAsia"/>
                <w:color w:val="000000" w:themeColor="text1"/>
                <w:kern w:val="0"/>
                <w:sz w:val="20"/>
                <w:szCs w:val="20"/>
              </w:rPr>
              <w:t>-7%，每超过一个百分点扣0.8分，扣完为止。</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“三公经费”变动率=[（本年度“三公经费”预算数-上年度“三公经费”预算数）/上年度“三公经费”预算数]×100%</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8</w:t>
            </w:r>
          </w:p>
        </w:tc>
      </w:tr>
      <w:tr w:rsidR="0071245B" w:rsidTr="009F76BA">
        <w:trPr>
          <w:trHeight w:val="1136"/>
          <w:jc w:val="center"/>
        </w:trPr>
        <w:tc>
          <w:tcPr>
            <w:tcW w:w="488"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过                                                                                                                                       程</w:t>
            </w:r>
          </w:p>
        </w:tc>
        <w:tc>
          <w:tcPr>
            <w:tcW w:w="542"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预算执行</w:t>
            </w:r>
          </w:p>
        </w:tc>
        <w:tc>
          <w:tcPr>
            <w:tcW w:w="613"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20</w:t>
            </w: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预算完成率</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100%计满分，每低于5%扣2分，扣完为止。</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预算完成率=（上年结转+年初预算+本年追加预算-年末结余）/（上年结转+年初预算+本年追加预算）×100%。</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3</w:t>
            </w:r>
          </w:p>
        </w:tc>
      </w:tr>
      <w:tr w:rsidR="0071245B" w:rsidTr="009F76BA">
        <w:trPr>
          <w:trHeight w:val="995"/>
          <w:jc w:val="center"/>
        </w:trPr>
        <w:tc>
          <w:tcPr>
            <w:tcW w:w="488"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预算控制率</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预算控制率=0，计5分；0-10%（含），计4分；10-20%（含），计3分；20-30%（含），计2分；大于30%不得分。</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预算控制率=（本年追加预算/年初预算）×100%。</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5</w:t>
            </w:r>
          </w:p>
        </w:tc>
      </w:tr>
      <w:tr w:rsidR="0071245B" w:rsidTr="009F76BA">
        <w:trPr>
          <w:trHeight w:val="1164"/>
          <w:jc w:val="center"/>
        </w:trPr>
        <w:tc>
          <w:tcPr>
            <w:tcW w:w="488"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Pr="0071245B" w:rsidRDefault="0071245B" w:rsidP="009F76BA">
            <w:pPr>
              <w:jc w:val="center"/>
              <w:rPr>
                <w:rFonts w:ascii="仿宋_GB2312" w:hAnsi="宋体" w:cs="宋体"/>
                <w:color w:val="000000" w:themeColor="text1"/>
                <w:kern w:val="0"/>
                <w:sz w:val="20"/>
                <w:szCs w:val="20"/>
              </w:rPr>
            </w:pPr>
            <w:r w:rsidRPr="0071245B">
              <w:rPr>
                <w:color w:val="000000" w:themeColor="text1"/>
                <w:sz w:val="18"/>
                <w:szCs w:val="18"/>
              </w:rPr>
              <w:t>结转结余变动率</w:t>
            </w:r>
          </w:p>
        </w:tc>
        <w:tc>
          <w:tcPr>
            <w:tcW w:w="602" w:type="dxa"/>
            <w:tcBorders>
              <w:top w:val="nil"/>
              <w:left w:val="nil"/>
              <w:bottom w:val="single" w:sz="4" w:space="0" w:color="auto"/>
              <w:right w:val="single" w:sz="4" w:space="0" w:color="auto"/>
            </w:tcBorders>
            <w:vAlign w:val="center"/>
          </w:tcPr>
          <w:p w:rsidR="0071245B" w:rsidRPr="0071245B" w:rsidRDefault="0071245B" w:rsidP="009F76BA">
            <w:pPr>
              <w:widowControl/>
              <w:spacing w:line="260" w:lineRule="exact"/>
              <w:jc w:val="center"/>
              <w:rPr>
                <w:rFonts w:ascii="仿宋_GB2312" w:hAnsi="宋体" w:cs="宋体"/>
                <w:color w:val="000000" w:themeColor="text1"/>
                <w:kern w:val="0"/>
                <w:sz w:val="20"/>
                <w:szCs w:val="20"/>
              </w:rPr>
            </w:pPr>
            <w:r w:rsidRPr="0071245B">
              <w:rPr>
                <w:rFonts w:ascii="仿宋_GB2312" w:hAnsi="宋体" w:cs="宋体" w:hint="eastAsia"/>
                <w:color w:val="000000" w:themeColor="text1"/>
                <w:kern w:val="0"/>
                <w:sz w:val="20"/>
                <w:szCs w:val="20"/>
              </w:rPr>
              <w:t>5</w:t>
            </w:r>
          </w:p>
        </w:tc>
        <w:tc>
          <w:tcPr>
            <w:tcW w:w="3030" w:type="dxa"/>
            <w:tcBorders>
              <w:top w:val="nil"/>
              <w:left w:val="nil"/>
              <w:bottom w:val="single" w:sz="4" w:space="0" w:color="auto"/>
              <w:right w:val="single" w:sz="4" w:space="0" w:color="auto"/>
            </w:tcBorders>
            <w:vAlign w:val="center"/>
          </w:tcPr>
          <w:p w:rsidR="0071245B" w:rsidRPr="0071245B" w:rsidRDefault="0071245B" w:rsidP="009F76BA">
            <w:pPr>
              <w:rPr>
                <w:rFonts w:ascii="仿宋_GB2312" w:hAnsi="宋体" w:cs="宋体"/>
                <w:color w:val="000000" w:themeColor="text1"/>
                <w:kern w:val="0"/>
                <w:sz w:val="20"/>
                <w:szCs w:val="20"/>
              </w:rPr>
            </w:pPr>
            <w:r w:rsidRPr="0071245B">
              <w:rPr>
                <w:color w:val="000000" w:themeColor="text1"/>
                <w:sz w:val="18"/>
                <w:szCs w:val="18"/>
              </w:rPr>
              <w:t>结转结余</w:t>
            </w:r>
            <w:r w:rsidRPr="0071245B">
              <w:rPr>
                <w:rFonts w:ascii="仿宋_GB2312" w:hAnsi="宋体" w:cs="宋体" w:hint="eastAsia"/>
                <w:color w:val="000000" w:themeColor="text1"/>
                <w:kern w:val="0"/>
                <w:sz w:val="20"/>
                <w:szCs w:val="20"/>
              </w:rPr>
              <w:t>变动率≦0,计5分；</w:t>
            </w:r>
            <w:r w:rsidRPr="0071245B">
              <w:rPr>
                <w:color w:val="000000" w:themeColor="text1"/>
                <w:sz w:val="18"/>
                <w:szCs w:val="18"/>
              </w:rPr>
              <w:t>结转结余</w:t>
            </w:r>
            <w:r w:rsidRPr="0071245B">
              <w:rPr>
                <w:rFonts w:ascii="仿宋_GB2312" w:hAnsi="宋体" w:cs="宋体" w:hint="eastAsia"/>
                <w:color w:val="000000" w:themeColor="text1"/>
                <w:kern w:val="0"/>
                <w:sz w:val="20"/>
                <w:szCs w:val="20"/>
              </w:rPr>
              <w:t>变动率＞0，每超过一个百分点扣0.5分，扣完为止。</w:t>
            </w:r>
          </w:p>
        </w:tc>
        <w:tc>
          <w:tcPr>
            <w:tcW w:w="2387" w:type="dxa"/>
            <w:tcBorders>
              <w:top w:val="nil"/>
              <w:left w:val="nil"/>
              <w:bottom w:val="single" w:sz="4" w:space="0" w:color="auto"/>
              <w:right w:val="single" w:sz="4" w:space="0" w:color="auto"/>
            </w:tcBorders>
            <w:vAlign w:val="center"/>
          </w:tcPr>
          <w:p w:rsidR="0071245B" w:rsidRPr="0071245B" w:rsidRDefault="0071245B" w:rsidP="009F76BA">
            <w:pPr>
              <w:widowControl/>
              <w:spacing w:line="260" w:lineRule="exact"/>
              <w:jc w:val="left"/>
              <w:rPr>
                <w:rFonts w:ascii="仿宋_GB2312" w:hAnsi="宋体" w:cs="宋体"/>
                <w:color w:val="000000" w:themeColor="text1"/>
                <w:kern w:val="0"/>
                <w:sz w:val="20"/>
                <w:szCs w:val="20"/>
              </w:rPr>
            </w:pPr>
            <w:r w:rsidRPr="0071245B">
              <w:rPr>
                <w:color w:val="000000" w:themeColor="text1"/>
                <w:sz w:val="18"/>
                <w:szCs w:val="18"/>
              </w:rPr>
              <w:t>结转结余变动率</w:t>
            </w:r>
            <w:r w:rsidRPr="0071245B">
              <w:rPr>
                <w:color w:val="000000" w:themeColor="text1"/>
                <w:sz w:val="18"/>
                <w:szCs w:val="18"/>
              </w:rPr>
              <w:t>=[</w:t>
            </w:r>
            <w:r w:rsidRPr="0071245B">
              <w:rPr>
                <w:color w:val="000000" w:themeColor="text1"/>
                <w:sz w:val="18"/>
                <w:szCs w:val="18"/>
              </w:rPr>
              <w:t>（本年度累计结转结余资金总额</w:t>
            </w:r>
            <w:r w:rsidRPr="0071245B">
              <w:rPr>
                <w:color w:val="000000" w:themeColor="text1"/>
                <w:sz w:val="18"/>
                <w:szCs w:val="18"/>
              </w:rPr>
              <w:t>-</w:t>
            </w:r>
            <w:r w:rsidRPr="0071245B">
              <w:rPr>
                <w:color w:val="000000" w:themeColor="text1"/>
                <w:sz w:val="18"/>
                <w:szCs w:val="18"/>
              </w:rPr>
              <w:t>上年度累计结转结余资金总额）</w:t>
            </w:r>
            <w:r w:rsidRPr="0071245B">
              <w:rPr>
                <w:color w:val="000000" w:themeColor="text1"/>
                <w:sz w:val="18"/>
                <w:szCs w:val="18"/>
              </w:rPr>
              <w:t>/</w:t>
            </w:r>
            <w:r w:rsidRPr="0071245B">
              <w:rPr>
                <w:color w:val="000000" w:themeColor="text1"/>
                <w:sz w:val="18"/>
                <w:szCs w:val="18"/>
              </w:rPr>
              <w:t>上年度累计结转结余资金总额</w:t>
            </w:r>
            <w:r w:rsidRPr="0071245B">
              <w:rPr>
                <w:color w:val="000000" w:themeColor="text1"/>
                <w:sz w:val="18"/>
                <w:szCs w:val="18"/>
              </w:rPr>
              <w:t>]×100%</w:t>
            </w:r>
            <w:r w:rsidRPr="0071245B">
              <w:rPr>
                <w:color w:val="000000" w:themeColor="text1"/>
                <w:sz w:val="18"/>
                <w:szCs w:val="18"/>
              </w:rPr>
              <w:t>。</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5</w:t>
            </w:r>
          </w:p>
        </w:tc>
      </w:tr>
      <w:tr w:rsidR="0071245B" w:rsidTr="009F76BA">
        <w:trPr>
          <w:trHeight w:val="1284"/>
          <w:jc w:val="center"/>
        </w:trPr>
        <w:tc>
          <w:tcPr>
            <w:tcW w:w="488"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新建楼堂馆所面积控制率</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100%以下（含）计满分，每超出5%扣2分，扣完为止。没有楼堂馆所项目的部门按满分计算。</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楼堂馆所面积控制率=实际建设面积/批准建设面积×100% 。</w:t>
            </w:r>
            <w:r>
              <w:rPr>
                <w:rFonts w:ascii="仿宋_GB2312" w:hAnsi="宋体" w:cs="宋体" w:hint="eastAsia"/>
                <w:kern w:val="0"/>
                <w:sz w:val="20"/>
                <w:szCs w:val="20"/>
              </w:rPr>
              <w:br/>
              <w:t>该指标以2019年完工的新建楼堂馆所为评价内容。</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5</w:t>
            </w:r>
          </w:p>
        </w:tc>
      </w:tr>
      <w:tr w:rsidR="0071245B" w:rsidTr="009F76BA">
        <w:trPr>
          <w:trHeight w:val="1549"/>
          <w:jc w:val="center"/>
        </w:trPr>
        <w:tc>
          <w:tcPr>
            <w:tcW w:w="488"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41</w:t>
            </w: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41</w:t>
            </w:r>
          </w:p>
          <w:p w:rsidR="0071245B" w:rsidRDefault="0071245B" w:rsidP="009F76BA">
            <w:pPr>
              <w:widowControl/>
              <w:spacing w:line="260" w:lineRule="exact"/>
              <w:jc w:val="center"/>
              <w:rPr>
                <w:rFonts w:ascii="仿宋_GB2312" w:hAnsi="宋体" w:cs="宋体"/>
                <w:kern w:val="0"/>
                <w:sz w:val="20"/>
                <w:szCs w:val="20"/>
              </w:rPr>
            </w:pPr>
          </w:p>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公用经费控制率</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100%以下（含）计满分，每超出1%扣1分，扣完为止。</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公用经费控制率=（实际支出公用经费总额/预算安排公用经费总额）×100%。</w:t>
            </w:r>
            <w:r>
              <w:rPr>
                <w:rFonts w:ascii="仿宋_GB2312" w:hAnsi="宋体" w:cs="宋体" w:hint="eastAsia"/>
                <w:kern w:val="0"/>
                <w:sz w:val="20"/>
                <w:szCs w:val="20"/>
              </w:rPr>
              <w:br/>
            </w:r>
            <w:r>
              <w:rPr>
                <w:rFonts w:ascii="仿宋_GB2312" w:hAnsi="宋体" w:cs="宋体" w:hint="eastAsia"/>
                <w:kern w:val="0"/>
                <w:sz w:val="18"/>
                <w:szCs w:val="20"/>
              </w:rPr>
              <w:t>公用经费支出是指部门基本支出中的一般商品和服务支出。</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8</w:t>
            </w:r>
          </w:p>
        </w:tc>
      </w:tr>
      <w:tr w:rsidR="0071245B" w:rsidTr="009F76BA">
        <w:trPr>
          <w:trHeight w:val="930"/>
          <w:jc w:val="center"/>
        </w:trPr>
        <w:tc>
          <w:tcPr>
            <w:tcW w:w="488"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“三公经费”控制率</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100%以下（含）计满分，每超出1%扣1分，扣完为止。</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18"/>
                <w:szCs w:val="18"/>
              </w:rPr>
            </w:pPr>
            <w:r>
              <w:rPr>
                <w:rFonts w:ascii="仿宋_GB2312" w:hAnsi="宋体" w:cs="宋体" w:hint="eastAsia"/>
                <w:kern w:val="0"/>
                <w:sz w:val="18"/>
                <w:szCs w:val="18"/>
              </w:rPr>
              <w:t>“三公经费”控制率-（“三公经费”实际支出数/“三公经费”预算安排数）×100%。</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8</w:t>
            </w:r>
          </w:p>
        </w:tc>
      </w:tr>
      <w:tr w:rsidR="0071245B" w:rsidTr="009F76BA">
        <w:trPr>
          <w:trHeight w:val="753"/>
          <w:jc w:val="center"/>
        </w:trPr>
        <w:tc>
          <w:tcPr>
            <w:tcW w:w="488" w:type="dxa"/>
            <w:vMerge/>
            <w:tcBorders>
              <w:top w:val="nil"/>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政府采购执行率</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100%计满分，每超过（降低）5%扣2分。扣完为止。</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政府采购执行率=（实际政府采购金额/政府采购预算数）×100%</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6</w:t>
            </w:r>
          </w:p>
        </w:tc>
      </w:tr>
      <w:tr w:rsidR="0071245B" w:rsidTr="009F76BA">
        <w:trPr>
          <w:jc w:val="center"/>
        </w:trPr>
        <w:tc>
          <w:tcPr>
            <w:tcW w:w="488" w:type="dxa"/>
            <w:vMerge w:val="restart"/>
            <w:tcBorders>
              <w:top w:val="single" w:sz="4" w:space="0" w:color="auto"/>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过                                                                                                                                       程</w:t>
            </w:r>
          </w:p>
        </w:tc>
        <w:tc>
          <w:tcPr>
            <w:tcW w:w="542" w:type="dxa"/>
            <w:vMerge w:val="restart"/>
            <w:tcBorders>
              <w:top w:val="single" w:sz="4" w:space="0" w:color="auto"/>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管理制度健全性</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①有内部财务管理制度、会计核算制度等管理制度，2分；②有本部门厉行节约制度,2分；③相关管理制度合法、合规、完整，2分；④相关管理制度得到有效执行，2分。</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8</w:t>
            </w:r>
          </w:p>
        </w:tc>
      </w:tr>
      <w:tr w:rsidR="0071245B" w:rsidTr="009F76BA">
        <w:trPr>
          <w:jc w:val="center"/>
        </w:trPr>
        <w:tc>
          <w:tcPr>
            <w:tcW w:w="488"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资金使用合规性</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cs="宋体" w:hint="eastAsia"/>
                <w:kern w:val="0"/>
                <w:sz w:val="20"/>
                <w:szCs w:val="20"/>
              </w:rPr>
              <w:br/>
              <w:t>以上情况每出现一例不符合要求的扣1分，扣完为止。</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6</w:t>
            </w:r>
          </w:p>
        </w:tc>
      </w:tr>
      <w:tr w:rsidR="0071245B" w:rsidTr="009F76BA">
        <w:trPr>
          <w:jc w:val="center"/>
        </w:trPr>
        <w:tc>
          <w:tcPr>
            <w:tcW w:w="488"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预决算和“三公经费”信</w:t>
            </w:r>
            <w:r>
              <w:rPr>
                <w:rFonts w:ascii="仿宋_GB2312" w:hAnsi="宋体" w:cs="宋体" w:hint="eastAsia"/>
                <w:kern w:val="0"/>
                <w:sz w:val="20"/>
                <w:szCs w:val="20"/>
              </w:rPr>
              <w:lastRenderedPageBreak/>
              <w:t>息公开性</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lastRenderedPageBreak/>
              <w:t>5</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①按规定内容公开预决算信息，1分；②按规定时限公开预决算信息，1分；③基础数据信息和会计信息资料真实，1分；④基础</w:t>
            </w:r>
            <w:r>
              <w:rPr>
                <w:rFonts w:ascii="仿宋_GB2312" w:hAnsi="宋体" w:cs="宋体" w:hint="eastAsia"/>
                <w:kern w:val="0"/>
                <w:sz w:val="20"/>
                <w:szCs w:val="20"/>
              </w:rPr>
              <w:lastRenderedPageBreak/>
              <w:t xml:space="preserve">数据信息和会计信息资料完整，1分；⑤基础数据信息和汇集信息资料准确，1分。  </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lastRenderedPageBreak/>
              <w:t>预决算信息是指与部门预算、执行、决算、监督、绩效等管理相关的信息。</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ind w:firstLineChars="50" w:firstLine="100"/>
              <w:jc w:val="left"/>
              <w:rPr>
                <w:rFonts w:ascii="仿宋_GB2312" w:hAnsi="宋体" w:cs="宋体"/>
                <w:kern w:val="0"/>
                <w:sz w:val="20"/>
                <w:szCs w:val="20"/>
              </w:rPr>
            </w:pPr>
            <w:r>
              <w:rPr>
                <w:rFonts w:ascii="仿宋_GB2312" w:hAnsi="宋体" w:cs="宋体" w:hint="eastAsia"/>
                <w:kern w:val="0"/>
                <w:sz w:val="20"/>
                <w:szCs w:val="20"/>
              </w:rPr>
              <w:t>5</w:t>
            </w:r>
          </w:p>
        </w:tc>
      </w:tr>
      <w:tr w:rsidR="0071245B" w:rsidTr="009F76BA">
        <w:trPr>
          <w:jc w:val="center"/>
        </w:trPr>
        <w:tc>
          <w:tcPr>
            <w:tcW w:w="488"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lastRenderedPageBreak/>
              <w:t>产出及效率</w:t>
            </w:r>
          </w:p>
        </w:tc>
        <w:tc>
          <w:tcPr>
            <w:tcW w:w="542"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26</w:t>
            </w:r>
          </w:p>
        </w:tc>
        <w:tc>
          <w:tcPr>
            <w:tcW w:w="70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职责履行</w:t>
            </w:r>
          </w:p>
        </w:tc>
        <w:tc>
          <w:tcPr>
            <w:tcW w:w="6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重点工作实际完成率</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根据县综合考评办2019年对各部门为民办实事和部门重点工程与重点工作考核分数折算。</w:t>
            </w:r>
            <w:r>
              <w:rPr>
                <w:rFonts w:ascii="仿宋_GB2312" w:hAnsi="宋体" w:cs="宋体" w:hint="eastAsia"/>
                <w:kern w:val="0"/>
                <w:sz w:val="20"/>
                <w:szCs w:val="20"/>
              </w:rPr>
              <w:br/>
              <w:t>该项得分=（县综合考评办对应部分考核得分/100）*8</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8</w:t>
            </w:r>
          </w:p>
        </w:tc>
      </w:tr>
      <w:tr w:rsidR="0071245B" w:rsidTr="009F76BA">
        <w:trPr>
          <w:trHeight w:val="357"/>
          <w:jc w:val="center"/>
        </w:trPr>
        <w:tc>
          <w:tcPr>
            <w:tcW w:w="488"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履职 效益</w:t>
            </w:r>
          </w:p>
        </w:tc>
        <w:tc>
          <w:tcPr>
            <w:tcW w:w="613"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913"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经济</w:t>
            </w:r>
          </w:p>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val="restart"/>
            <w:tcBorders>
              <w:top w:val="nil"/>
              <w:left w:val="single" w:sz="4" w:space="0" w:color="auto"/>
              <w:bottom w:val="nil"/>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5417" w:type="dxa"/>
            <w:gridSpan w:val="2"/>
            <w:vMerge w:val="restart"/>
            <w:tcBorders>
              <w:top w:val="single" w:sz="4" w:space="0" w:color="auto"/>
              <w:left w:val="single" w:sz="4" w:space="0" w:color="auto"/>
              <w:bottom w:val="nil"/>
              <w:right w:val="single" w:sz="4" w:space="0" w:color="000000"/>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661" w:type="dxa"/>
            <w:vMerge w:val="restart"/>
            <w:tcBorders>
              <w:top w:val="nil"/>
              <w:left w:val="nil"/>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6</w:t>
            </w:r>
          </w:p>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r>
      <w:tr w:rsidR="0071245B" w:rsidTr="009F76BA">
        <w:trPr>
          <w:jc w:val="center"/>
        </w:trPr>
        <w:tc>
          <w:tcPr>
            <w:tcW w:w="488"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社会</w:t>
            </w:r>
          </w:p>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tcBorders>
              <w:top w:val="nil"/>
              <w:left w:val="single" w:sz="4" w:space="0" w:color="auto"/>
              <w:bottom w:val="nil"/>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p>
        </w:tc>
        <w:tc>
          <w:tcPr>
            <w:tcW w:w="5417" w:type="dxa"/>
            <w:gridSpan w:val="2"/>
            <w:vMerge/>
            <w:tcBorders>
              <w:top w:val="single" w:sz="4" w:space="0" w:color="auto"/>
              <w:left w:val="single" w:sz="4" w:space="0" w:color="auto"/>
              <w:bottom w:val="nil"/>
              <w:right w:val="single" w:sz="4" w:space="0" w:color="000000"/>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61" w:type="dxa"/>
            <w:vMerge/>
            <w:tcBorders>
              <w:left w:val="nil"/>
              <w:bottom w:val="nil"/>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r>
      <w:tr w:rsidR="0071245B" w:rsidTr="009F76BA">
        <w:trPr>
          <w:jc w:val="center"/>
        </w:trPr>
        <w:tc>
          <w:tcPr>
            <w:tcW w:w="488"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val="restart"/>
            <w:tcBorders>
              <w:top w:val="nil"/>
              <w:left w:val="single" w:sz="4" w:space="0" w:color="auto"/>
              <w:bottom w:val="single" w:sz="4" w:space="0" w:color="000000"/>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12</w:t>
            </w: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行政</w:t>
            </w:r>
          </w:p>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效能</w:t>
            </w:r>
          </w:p>
        </w:tc>
        <w:tc>
          <w:tcPr>
            <w:tcW w:w="602"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促进部门改进文风会风，加强经费及资产管理，推动网上办事，提高行政效率，降低行政成本效果较好的计6分；一般3分；无效果或者效果不明显0分。</w:t>
            </w:r>
          </w:p>
        </w:tc>
        <w:tc>
          <w:tcPr>
            <w:tcW w:w="2387"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根据部门自评材料评定。</w:t>
            </w:r>
          </w:p>
        </w:tc>
        <w:tc>
          <w:tcPr>
            <w:tcW w:w="661" w:type="dxa"/>
            <w:tcBorders>
              <w:top w:val="single" w:sz="4" w:space="0" w:color="auto"/>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6</w:t>
            </w:r>
          </w:p>
        </w:tc>
      </w:tr>
      <w:tr w:rsidR="0071245B" w:rsidTr="009F76BA">
        <w:trPr>
          <w:jc w:val="center"/>
        </w:trPr>
        <w:tc>
          <w:tcPr>
            <w:tcW w:w="488" w:type="dxa"/>
            <w:vMerge/>
            <w:tcBorders>
              <w:top w:val="nil"/>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社会公众或服务对象满意度</w:t>
            </w:r>
          </w:p>
        </w:tc>
        <w:tc>
          <w:tcPr>
            <w:tcW w:w="602"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90%（含）以上计6分；</w:t>
            </w:r>
            <w:r>
              <w:rPr>
                <w:rFonts w:ascii="仿宋_GB2312" w:hAnsi="宋体" w:cs="宋体" w:hint="eastAsia"/>
                <w:kern w:val="0"/>
                <w:sz w:val="20"/>
                <w:szCs w:val="20"/>
              </w:rPr>
              <w:br/>
              <w:t>80%（含）-90%，计4分；</w:t>
            </w:r>
            <w:r>
              <w:rPr>
                <w:rFonts w:ascii="仿宋_GB2312" w:hAnsi="宋体" w:cs="宋体" w:hint="eastAsia"/>
                <w:kern w:val="0"/>
                <w:sz w:val="20"/>
                <w:szCs w:val="20"/>
              </w:rPr>
              <w:br/>
              <w:t>70%（含）-80%，计2分；</w:t>
            </w:r>
            <w:r>
              <w:rPr>
                <w:rFonts w:ascii="仿宋_GB2312" w:hAnsi="宋体" w:cs="宋体" w:hint="eastAsia"/>
                <w:kern w:val="0"/>
                <w:sz w:val="20"/>
                <w:szCs w:val="20"/>
              </w:rPr>
              <w:br/>
              <w:t>低于70%计0分。</w:t>
            </w:r>
          </w:p>
        </w:tc>
        <w:tc>
          <w:tcPr>
            <w:tcW w:w="2387"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社会公众或服务对象是指部门（单位）履行职责而影响到的部门、群体或个人，一般采取社会调查的方式。</w:t>
            </w:r>
          </w:p>
        </w:tc>
        <w:tc>
          <w:tcPr>
            <w:tcW w:w="661" w:type="dxa"/>
            <w:tcBorders>
              <w:top w:val="nil"/>
              <w:left w:val="nil"/>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6</w:t>
            </w:r>
          </w:p>
        </w:tc>
      </w:tr>
      <w:tr w:rsidR="0071245B" w:rsidTr="009F76BA">
        <w:trPr>
          <w:trHeight w:val="582"/>
          <w:jc w:val="center"/>
        </w:trPr>
        <w:tc>
          <w:tcPr>
            <w:tcW w:w="1730" w:type="dxa"/>
            <w:gridSpan w:val="3"/>
            <w:tcBorders>
              <w:top w:val="single" w:sz="4" w:space="0" w:color="auto"/>
              <w:left w:val="single" w:sz="4" w:space="0" w:color="auto"/>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b/>
                <w:bCs/>
                <w:kern w:val="0"/>
                <w:sz w:val="20"/>
                <w:szCs w:val="20"/>
              </w:rPr>
              <w:t>合   计</w:t>
            </w:r>
          </w:p>
        </w:tc>
        <w:tc>
          <w:tcPr>
            <w:tcW w:w="613" w:type="dxa"/>
            <w:tcBorders>
              <w:top w:val="single" w:sz="4" w:space="0" w:color="auto"/>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p>
        </w:tc>
        <w:tc>
          <w:tcPr>
            <w:tcW w:w="913" w:type="dxa"/>
            <w:tcBorders>
              <w:top w:val="single" w:sz="4" w:space="0" w:color="auto"/>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71245B" w:rsidRDefault="0071245B" w:rsidP="009F76BA">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100</w:t>
            </w:r>
          </w:p>
        </w:tc>
        <w:tc>
          <w:tcPr>
            <w:tcW w:w="3030" w:type="dxa"/>
            <w:tcBorders>
              <w:top w:val="single" w:sz="4" w:space="0" w:color="auto"/>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2387" w:type="dxa"/>
            <w:tcBorders>
              <w:top w:val="single" w:sz="4" w:space="0" w:color="auto"/>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p>
        </w:tc>
        <w:tc>
          <w:tcPr>
            <w:tcW w:w="661" w:type="dxa"/>
            <w:tcBorders>
              <w:top w:val="single" w:sz="4" w:space="0" w:color="auto"/>
              <w:left w:val="single" w:sz="4" w:space="0" w:color="auto"/>
              <w:bottom w:val="single" w:sz="4" w:space="0" w:color="auto"/>
              <w:right w:val="single" w:sz="4" w:space="0" w:color="auto"/>
            </w:tcBorders>
            <w:vAlign w:val="center"/>
          </w:tcPr>
          <w:p w:rsidR="0071245B" w:rsidRDefault="0071245B" w:rsidP="009F76BA">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95.5</w:t>
            </w:r>
          </w:p>
        </w:tc>
      </w:tr>
    </w:tbl>
    <w:p w:rsidR="0071245B" w:rsidRDefault="0071245B" w:rsidP="0071245B"/>
    <w:p w:rsidR="00A04239" w:rsidRPr="0071245B" w:rsidRDefault="00A04239">
      <w:pPr>
        <w:rPr>
          <w:b/>
        </w:rPr>
      </w:pPr>
    </w:p>
    <w:sectPr w:rsidR="00A04239" w:rsidRPr="0071245B" w:rsidSect="00A04239">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C4A" w:rsidRDefault="00463C4A" w:rsidP="0071245B">
      <w:r>
        <w:separator/>
      </w:r>
    </w:p>
  </w:endnote>
  <w:endnote w:type="continuationSeparator" w:id="0">
    <w:p w:rsidR="00463C4A" w:rsidRDefault="00463C4A" w:rsidP="00712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_GBK">
    <w:altName w:val="黑体"/>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C4A" w:rsidRDefault="00463C4A" w:rsidP="0071245B">
      <w:r>
        <w:separator/>
      </w:r>
    </w:p>
  </w:footnote>
  <w:footnote w:type="continuationSeparator" w:id="0">
    <w:p w:rsidR="00463C4A" w:rsidRDefault="00463C4A" w:rsidP="00712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6E" w:rsidRDefault="00463C4A" w:rsidP="004C316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45B"/>
    <w:rsid w:val="00317FA3"/>
    <w:rsid w:val="00392776"/>
    <w:rsid w:val="00463C4A"/>
    <w:rsid w:val="0071245B"/>
    <w:rsid w:val="00A04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5B"/>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24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245B"/>
    <w:rPr>
      <w:sz w:val="18"/>
      <w:szCs w:val="18"/>
    </w:rPr>
  </w:style>
  <w:style w:type="paragraph" w:styleId="a4">
    <w:name w:val="footer"/>
    <w:basedOn w:val="a"/>
    <w:link w:val="Char0"/>
    <w:uiPriority w:val="99"/>
    <w:semiHidden/>
    <w:unhideWhenUsed/>
    <w:rsid w:val="007124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245B"/>
    <w:rPr>
      <w:sz w:val="18"/>
      <w:szCs w:val="18"/>
    </w:rPr>
  </w:style>
  <w:style w:type="paragraph" w:customStyle="1" w:styleId="Default">
    <w:name w:val="Default"/>
    <w:uiPriority w:val="99"/>
    <w:rsid w:val="0071245B"/>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366</Words>
  <Characters>2091</Characters>
  <Application>Microsoft Office Word</Application>
  <DocSecurity>0</DocSecurity>
  <Lines>17</Lines>
  <Paragraphs>4</Paragraphs>
  <ScaleCrop>false</ScaleCrop>
  <Company>微软中国</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xzjd</cp:lastModifiedBy>
  <cp:revision>4</cp:revision>
  <dcterms:created xsi:type="dcterms:W3CDTF">2020-10-28T01:55:00Z</dcterms:created>
  <dcterms:modified xsi:type="dcterms:W3CDTF">2021-01-07T01:18:00Z</dcterms:modified>
</cp:coreProperties>
</file>