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永兴县公安局交通警察大队</w:t>
      </w:r>
      <w:r>
        <w:rPr>
          <w:rFonts w:hint="eastAsia" w:ascii="方正小标宋简体" w:hAnsi="方正小标宋简体" w:eastAsia="方正小标宋简体" w:cs="方正小标宋简体"/>
          <w:sz w:val="36"/>
          <w:szCs w:val="36"/>
          <w:lang w:val="en-US" w:eastAsia="zh-CN"/>
        </w:rPr>
        <w:t>2020</w:t>
      </w:r>
      <w:r>
        <w:rPr>
          <w:rFonts w:hint="eastAsia" w:ascii="方正小标宋简体" w:hAnsi="方正小标宋简体" w:eastAsia="方正小标宋简体" w:cs="方正小标宋简体"/>
          <w:sz w:val="36"/>
          <w:szCs w:val="36"/>
        </w:rPr>
        <w:t>年度部门整体支出绩效评价报告</w:t>
      </w:r>
    </w:p>
    <w:p>
      <w:pPr>
        <w:pStyle w:val="7"/>
        <w:widowControl/>
        <w:numPr>
          <w:ilvl w:val="0"/>
          <w:numId w:val="0"/>
        </w:numPr>
        <w:spacing w:line="600" w:lineRule="exact"/>
        <w:rPr>
          <w:rFonts w:ascii="Times New Roman" w:hAnsi="Times New Roman" w:eastAsia="黑体" w:cs="Times New Roman"/>
          <w:sz w:val="32"/>
          <w:szCs w:val="32"/>
        </w:rPr>
      </w:pPr>
    </w:p>
    <w:p>
      <w:pPr>
        <w:ind w:firstLine="600" w:firstLineChars="200"/>
        <w:rPr>
          <w:rFonts w:hint="eastAsia" w:ascii="仿宋" w:hAnsi="仿宋" w:eastAsia="仿宋" w:cs="仿宋"/>
          <w:b w:val="0"/>
          <w:i w:val="0"/>
          <w:caps w:val="0"/>
          <w:color w:val="333333"/>
          <w:spacing w:val="0"/>
          <w:sz w:val="30"/>
          <w:szCs w:val="30"/>
          <w:shd w:val="clear" w:color="auto" w:fill="FFFFFF"/>
          <w:lang w:eastAsia="zh-CN"/>
        </w:rPr>
      </w:pPr>
      <w:r>
        <w:rPr>
          <w:rFonts w:hint="eastAsia" w:ascii="仿宋" w:hAnsi="仿宋" w:eastAsia="仿宋" w:cs="仿宋"/>
          <w:b w:val="0"/>
          <w:i w:val="0"/>
          <w:caps w:val="0"/>
          <w:color w:val="333333"/>
          <w:spacing w:val="0"/>
          <w:sz w:val="30"/>
          <w:szCs w:val="30"/>
          <w:shd w:val="clear" w:color="auto" w:fill="FFFFFF"/>
          <w:lang w:eastAsia="zh-CN"/>
        </w:rPr>
        <w:t>根据《永兴县财政局关于做好</w:t>
      </w:r>
      <w:r>
        <w:rPr>
          <w:rFonts w:hint="eastAsia" w:ascii="仿宋" w:hAnsi="仿宋" w:eastAsia="仿宋" w:cs="仿宋"/>
          <w:b w:val="0"/>
          <w:i w:val="0"/>
          <w:caps w:val="0"/>
          <w:color w:val="333333"/>
          <w:spacing w:val="0"/>
          <w:sz w:val="30"/>
          <w:szCs w:val="30"/>
          <w:shd w:val="clear" w:color="auto" w:fill="FFFFFF"/>
          <w:lang w:val="en-US" w:eastAsia="zh-CN"/>
        </w:rPr>
        <w:t>2020</w:t>
      </w:r>
      <w:r>
        <w:rPr>
          <w:rFonts w:hint="eastAsia" w:ascii="仿宋" w:hAnsi="仿宋" w:eastAsia="仿宋" w:cs="仿宋"/>
          <w:b w:val="0"/>
          <w:i w:val="0"/>
          <w:caps w:val="0"/>
          <w:color w:val="333333"/>
          <w:spacing w:val="0"/>
          <w:sz w:val="30"/>
          <w:szCs w:val="30"/>
          <w:shd w:val="clear" w:color="auto" w:fill="FFFFFF"/>
          <w:lang w:eastAsia="zh-CN"/>
        </w:rPr>
        <w:t>年度财政支出绩效评价工作的通知》（永财绩函〔20</w:t>
      </w:r>
      <w:r>
        <w:rPr>
          <w:rFonts w:hint="eastAsia" w:ascii="仿宋" w:hAnsi="仿宋" w:eastAsia="仿宋" w:cs="仿宋"/>
          <w:b w:val="0"/>
          <w:i w:val="0"/>
          <w:caps w:val="0"/>
          <w:color w:val="333333"/>
          <w:spacing w:val="0"/>
          <w:sz w:val="30"/>
          <w:szCs w:val="30"/>
          <w:shd w:val="clear" w:color="auto" w:fill="FFFFFF"/>
          <w:lang w:val="en-US" w:eastAsia="zh-CN"/>
        </w:rPr>
        <w:t>21</w:t>
      </w:r>
      <w:r>
        <w:rPr>
          <w:rFonts w:hint="eastAsia" w:ascii="仿宋" w:hAnsi="仿宋" w:eastAsia="仿宋" w:cs="仿宋"/>
          <w:b w:val="0"/>
          <w:i w:val="0"/>
          <w:caps w:val="0"/>
          <w:color w:val="333333"/>
          <w:spacing w:val="0"/>
          <w:sz w:val="30"/>
          <w:szCs w:val="30"/>
          <w:shd w:val="clear" w:color="auto" w:fill="FFFFFF"/>
          <w:lang w:eastAsia="zh-CN"/>
        </w:rPr>
        <w:t>〕</w:t>
      </w:r>
      <w:r>
        <w:rPr>
          <w:rFonts w:hint="eastAsia" w:ascii="仿宋" w:hAnsi="仿宋" w:eastAsia="仿宋" w:cs="仿宋"/>
          <w:b w:val="0"/>
          <w:i w:val="0"/>
          <w:caps w:val="0"/>
          <w:color w:val="333333"/>
          <w:spacing w:val="0"/>
          <w:sz w:val="30"/>
          <w:szCs w:val="30"/>
          <w:shd w:val="clear" w:color="auto" w:fill="FFFFFF"/>
          <w:lang w:val="en-US" w:eastAsia="zh-CN"/>
        </w:rPr>
        <w:t>8</w:t>
      </w:r>
      <w:r>
        <w:rPr>
          <w:rFonts w:hint="eastAsia" w:ascii="仿宋" w:hAnsi="仿宋" w:eastAsia="仿宋" w:cs="仿宋"/>
          <w:b w:val="0"/>
          <w:i w:val="0"/>
          <w:caps w:val="0"/>
          <w:color w:val="333333"/>
          <w:spacing w:val="0"/>
          <w:sz w:val="30"/>
          <w:szCs w:val="30"/>
          <w:shd w:val="clear" w:color="auto" w:fill="FFFFFF"/>
          <w:lang w:eastAsia="zh-CN"/>
        </w:rPr>
        <w:t>号）相关文件精神，我队从预算配置、预算执行、预算管理、职责履行、履职效益等五方面入手，对照《部门整体支出绩效评价指标表》，</w:t>
      </w:r>
      <w:r>
        <w:rPr>
          <w:rFonts w:hint="eastAsia" w:ascii="仿宋" w:hAnsi="仿宋" w:eastAsia="仿宋" w:cs="仿宋"/>
          <w:b w:val="0"/>
          <w:i w:val="0"/>
          <w:caps w:val="0"/>
          <w:color w:val="333333"/>
          <w:spacing w:val="0"/>
          <w:sz w:val="30"/>
          <w:szCs w:val="30"/>
          <w:shd w:val="clear" w:color="auto" w:fill="FFFFFF"/>
          <w:lang w:val="en-US" w:eastAsia="zh-CN"/>
        </w:rPr>
        <w:t>2020</w:t>
      </w:r>
      <w:r>
        <w:rPr>
          <w:rFonts w:hint="eastAsia" w:ascii="仿宋" w:hAnsi="仿宋" w:eastAsia="仿宋" w:cs="仿宋"/>
          <w:b w:val="0"/>
          <w:i w:val="0"/>
          <w:caps w:val="0"/>
          <w:color w:val="333333"/>
          <w:spacing w:val="0"/>
          <w:sz w:val="30"/>
          <w:szCs w:val="30"/>
          <w:shd w:val="clear" w:color="auto" w:fill="FFFFFF"/>
        </w:rPr>
        <w:t>年度我队部门整体支出绩效自评等分</w:t>
      </w:r>
      <w:r>
        <w:rPr>
          <w:rFonts w:hint="eastAsia" w:ascii="仿宋" w:hAnsi="仿宋" w:eastAsia="仿宋" w:cs="仿宋"/>
          <w:b w:val="0"/>
          <w:i w:val="0"/>
          <w:caps w:val="0"/>
          <w:color w:val="333333"/>
          <w:spacing w:val="0"/>
          <w:sz w:val="30"/>
          <w:szCs w:val="30"/>
          <w:shd w:val="clear" w:color="auto" w:fill="FFFFFF"/>
          <w:lang w:val="en-US" w:eastAsia="zh-CN"/>
        </w:rPr>
        <w:t>92</w:t>
      </w:r>
      <w:r>
        <w:rPr>
          <w:rFonts w:hint="eastAsia" w:ascii="仿宋" w:hAnsi="仿宋" w:eastAsia="仿宋" w:cs="仿宋"/>
          <w:b w:val="0"/>
          <w:i w:val="0"/>
          <w:caps w:val="0"/>
          <w:color w:val="333333"/>
          <w:spacing w:val="0"/>
          <w:sz w:val="30"/>
          <w:szCs w:val="30"/>
          <w:shd w:val="clear" w:color="auto" w:fill="FFFFFF"/>
        </w:rPr>
        <w:t>分</w:t>
      </w:r>
      <w:r>
        <w:rPr>
          <w:rFonts w:hint="eastAsia" w:ascii="仿宋" w:hAnsi="仿宋" w:eastAsia="仿宋" w:cs="仿宋"/>
          <w:b w:val="0"/>
          <w:i w:val="0"/>
          <w:caps w:val="0"/>
          <w:color w:val="333333"/>
          <w:spacing w:val="0"/>
          <w:sz w:val="30"/>
          <w:szCs w:val="30"/>
          <w:shd w:val="clear" w:color="auto" w:fill="FFFFFF"/>
          <w:lang w:eastAsia="zh-CN"/>
        </w:rPr>
        <w:t>。</w:t>
      </w:r>
      <w:bookmarkStart w:id="0" w:name="_GoBack"/>
      <w:bookmarkEnd w:id="0"/>
    </w:p>
    <w:p>
      <w:pPr>
        <w:tabs>
          <w:tab w:val="left" w:pos="2720"/>
        </w:tabs>
        <w:spacing w:line="360" w:lineRule="exact"/>
        <w:ind w:right="641"/>
        <w:rPr>
          <w:rFonts w:hint="eastAsia" w:eastAsia="黑体"/>
          <w:szCs w:val="32"/>
        </w:rPr>
      </w:pPr>
      <w:r>
        <w:rPr>
          <w:rFonts w:eastAsia="黑体"/>
          <w:szCs w:val="32"/>
        </w:rPr>
        <w:t>附件</w:t>
      </w:r>
      <w:r>
        <w:rPr>
          <w:rFonts w:hint="eastAsia" w:eastAsia="黑体"/>
          <w:szCs w:val="32"/>
        </w:rPr>
        <w:t>1</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2020年度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default" w:ascii="仿宋_GB2312" w:hAnsi="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仿宋_GB2312" w:cs="仿宋_GB2312"/>
          <w:b w:val="0"/>
          <w:bCs w:val="0"/>
          <w:kern w:val="0"/>
          <w:sz w:val="21"/>
          <w:szCs w:val="21"/>
          <w:lang w:eastAsia="zh-CN"/>
        </w:rPr>
        <w:t>永兴县公安局交通警察大队</w:t>
      </w:r>
    </w:p>
    <w:tbl>
      <w:tblPr>
        <w:tblStyle w:val="5"/>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0</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000000" w:themeColor="text1"/>
                <w:kern w:val="0"/>
                <w:sz w:val="20"/>
                <w:szCs w:val="20"/>
                <w14:textFill>
                  <w14:solidFill>
                    <w14:schemeClr w14:val="tx1"/>
                  </w14:solidFill>
                </w14:textFill>
              </w:rPr>
              <w:t>“三公经费”变动率</w:t>
            </w:r>
            <w:r>
              <w:rPr>
                <w:rFonts w:hint="eastAsia" w:ascii="仿宋_GB2312" w:hAnsi="宋体" w:cs="宋体"/>
                <w:color w:val="000000" w:themeColor="text1"/>
                <w:kern w:val="0"/>
                <w:sz w:val="20"/>
                <w:szCs w:val="20"/>
                <w:lang w:val="en-US" w:eastAsia="zh-CN"/>
                <w14:textFill>
                  <w14:solidFill>
                    <w14:schemeClr w14:val="tx1"/>
                  </w14:solidFill>
                </w14:textFill>
              </w:rPr>
              <w:t>-7%以上</w:t>
            </w:r>
            <w:r>
              <w:rPr>
                <w:rFonts w:hint="eastAsia" w:ascii="仿宋_GB2312" w:hAnsi="宋体" w:cs="宋体"/>
                <w:color w:val="000000" w:themeColor="text1"/>
                <w:kern w:val="0"/>
                <w:sz w:val="20"/>
                <w:szCs w:val="20"/>
                <w14:textFill>
                  <w14:solidFill>
                    <w14:schemeClr w14:val="tx1"/>
                  </w14:solidFill>
                </w14:textFill>
              </w:rPr>
              <w:t>,计8分；“三公经费”变动率</w:t>
            </w:r>
            <w:r>
              <w:rPr>
                <w:rFonts w:hint="default" w:ascii="Times New Roman" w:hAnsi="Times New Roman" w:cs="Times New Roman"/>
                <w:color w:val="000000" w:themeColor="text1"/>
                <w:kern w:val="0"/>
                <w:sz w:val="20"/>
                <w:szCs w:val="20"/>
                <w14:textFill>
                  <w14:solidFill>
                    <w14:schemeClr w14:val="tx1"/>
                  </w14:solidFill>
                </w14:textFill>
              </w:rPr>
              <w:t>&lt;</w:t>
            </w:r>
            <w:r>
              <w:rPr>
                <w:rFonts w:hint="eastAsia" w:ascii="仿宋_GB2312" w:hAnsi="宋体" w:cs="宋体"/>
                <w:color w:val="000000" w:themeColor="text1"/>
                <w:kern w:val="0"/>
                <w:sz w:val="20"/>
                <w:szCs w:val="20"/>
                <w:lang w:val="en-US" w:eastAsia="zh-CN"/>
                <w14:textFill>
                  <w14:solidFill>
                    <w14:schemeClr w14:val="tx1"/>
                  </w14:solidFill>
                </w14:textFill>
              </w:rPr>
              <w:t>-7%</w:t>
            </w:r>
            <w:r>
              <w:rPr>
                <w:rFonts w:hint="eastAsia" w:ascii="仿宋_GB2312" w:hAnsi="宋体" w:cs="宋体"/>
                <w:color w:val="000000" w:themeColor="text1"/>
                <w:kern w:val="0"/>
                <w:sz w:val="20"/>
                <w:szCs w:val="20"/>
                <w14:textFill>
                  <w14:solidFill>
                    <w14:schemeClr w14:val="tx1"/>
                  </w14:solidFill>
                </w14:textFill>
              </w:rPr>
              <w:t>，每超过一个百分点扣0.8分，扣完为止。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000000" w:themeColor="text1"/>
                <w:kern w:val="0"/>
                <w:sz w:val="20"/>
                <w:szCs w:val="20"/>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000000" w:themeColor="text1"/>
                <w:kern w:val="0"/>
                <w:sz w:val="20"/>
                <w:szCs w:val="20"/>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结转结余</w:t>
            </w:r>
            <w:r>
              <w:rPr>
                <w:rFonts w:hint="eastAsia" w:ascii="仿宋_GB2312" w:hAnsi="宋体" w:cs="宋体"/>
                <w:color w:val="000000" w:themeColor="text1"/>
                <w:kern w:val="0"/>
                <w:sz w:val="20"/>
                <w:szCs w:val="20"/>
                <w14:textFill>
                  <w14:solidFill>
                    <w14:schemeClr w14:val="tx1"/>
                  </w14:solidFill>
                </w14:textFill>
              </w:rPr>
              <w:t>变动率≦0,计</w:t>
            </w:r>
            <w:r>
              <w:rPr>
                <w:rFonts w:hint="eastAsia" w:ascii="仿宋_GB2312" w:hAnsi="宋体" w:cs="宋体"/>
                <w:color w:val="000000" w:themeColor="text1"/>
                <w:kern w:val="0"/>
                <w:sz w:val="20"/>
                <w:szCs w:val="20"/>
                <w:lang w:val="en-US" w:eastAsia="zh-CN"/>
                <w14:textFill>
                  <w14:solidFill>
                    <w14:schemeClr w14:val="tx1"/>
                  </w14:solidFill>
                </w14:textFill>
              </w:rPr>
              <w:t>5</w:t>
            </w:r>
            <w:r>
              <w:rPr>
                <w:rFonts w:hint="eastAsia" w:ascii="仿宋_GB2312" w:hAnsi="宋体" w:cs="宋体"/>
                <w:color w:val="000000" w:themeColor="text1"/>
                <w:kern w:val="0"/>
                <w:sz w:val="20"/>
                <w:szCs w:val="20"/>
                <w14:textFill>
                  <w14:solidFill>
                    <w14:schemeClr w14:val="tx1"/>
                  </w14:solidFill>
                </w14:textFill>
              </w:rPr>
              <w:t>分；</w:t>
            </w:r>
            <w:r>
              <w:rPr>
                <w:rFonts w:ascii="Times New Roman" w:hAnsi="Times New Roman" w:cs="Times New Roman"/>
                <w:color w:val="000000" w:themeColor="text1"/>
                <w:sz w:val="18"/>
                <w:szCs w:val="18"/>
                <w14:textFill>
                  <w14:solidFill>
                    <w14:schemeClr w14:val="tx1"/>
                  </w14:solidFill>
                </w14:textFill>
              </w:rPr>
              <w:t>结转结余</w:t>
            </w:r>
            <w:r>
              <w:rPr>
                <w:rFonts w:hint="eastAsia" w:ascii="仿宋_GB2312" w:hAnsi="宋体" w:cs="宋体"/>
                <w:color w:val="000000" w:themeColor="text1"/>
                <w:kern w:val="0"/>
                <w:sz w:val="20"/>
                <w:szCs w:val="20"/>
                <w14:textFill>
                  <w14:solidFill>
                    <w14:schemeClr w14:val="tx1"/>
                  </w14:solidFill>
                </w14:textFill>
              </w:rPr>
              <w:t>变动率＞0，每超过一个百分点扣0.</w:t>
            </w:r>
            <w:r>
              <w:rPr>
                <w:rFonts w:hint="eastAsia" w:ascii="仿宋_GB2312" w:hAnsi="宋体" w:cs="宋体"/>
                <w:color w:val="000000" w:themeColor="text1"/>
                <w:kern w:val="0"/>
                <w:sz w:val="20"/>
                <w:szCs w:val="20"/>
                <w:lang w:val="en-US" w:eastAsia="zh-CN"/>
                <w14:textFill>
                  <w14:solidFill>
                    <w14:schemeClr w14:val="tx1"/>
                  </w14:solidFill>
                </w14:textFill>
              </w:rPr>
              <w:t>5</w:t>
            </w:r>
            <w:r>
              <w:rPr>
                <w:rFonts w:hint="eastAsia" w:ascii="仿宋_GB2312" w:hAnsi="宋体" w:cs="宋体"/>
                <w:color w:val="000000" w:themeColor="text1"/>
                <w:kern w:val="0"/>
                <w:sz w:val="20"/>
                <w:szCs w:val="20"/>
                <w14:textFill>
                  <w14:solidFill>
                    <w14:schemeClr w14:val="tx1"/>
                  </w14:solidFill>
                </w14:textFill>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themeColor="text1"/>
                <w:kern w:val="0"/>
                <w:sz w:val="20"/>
                <w:szCs w:val="20"/>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楼堂馆所面积控制率=实际建设面积/批准建设面积×100% 。</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该指标以201</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办201</w:t>
            </w:r>
            <w:r>
              <w:rPr>
                <w:rFonts w:hint="eastAsia" w:ascii="仿宋_GB2312" w:hAnsi="宋体" w:cs="宋体"/>
                <w:kern w:val="0"/>
                <w:sz w:val="20"/>
                <w:szCs w:val="20"/>
                <w:lang w:val="en-US" w:eastAsia="zh-CN"/>
              </w:rPr>
              <w:t>9</w:t>
            </w:r>
            <w:r>
              <w:rPr>
                <w:rFonts w:hint="eastAsia" w:ascii="仿宋_GB2312" w:hAnsi="宋体" w:cs="宋体"/>
                <w:kern w:val="0"/>
                <w:sz w:val="20"/>
                <w:szCs w:val="20"/>
              </w:rPr>
              <w:t>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92</w:t>
            </w:r>
          </w:p>
        </w:tc>
      </w:tr>
    </w:tbl>
    <w:p/>
    <w:p>
      <w:pPr>
        <w:rPr>
          <w:rFonts w:hint="eastAsia" w:ascii="仿宋" w:hAnsi="仿宋" w:eastAsia="仿宋" w:cs="仿宋"/>
          <w:b w:val="0"/>
          <w:i w:val="0"/>
          <w:caps w:val="0"/>
          <w:color w:val="333333"/>
          <w:spacing w:val="0"/>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04396"/>
    <w:rsid w:val="44AC7839"/>
    <w:rsid w:val="5C382014"/>
    <w:rsid w:val="60C845E9"/>
    <w:rsid w:val="757A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2021-10-18T07:03:00Z</dcterms:created>
  <dc:creator>Administrator</dc:creator>
  <cp:lastModifiedBy>永兴县公安局交通警察大队</cp:lastModifiedBy>
  <dcterms:modified xsi:type="dcterms:W3CDTF">2021-10-18T07:13:43Z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F138B4A554604A2D80AA0321528F1783</vt:lpwstr>
  </property>
</Properties>
</file>