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00" w:lineRule="atLeast"/>
        <w:jc w:val="center"/>
        <w:rPr>
          <w:rFonts w:hint="eastAsia" w:ascii="仿宋" w:hAnsi="仿宋" w:eastAsia="方正小标宋_GBK" w:cs="仿宋"/>
          <w:sz w:val="28"/>
          <w:szCs w:val="28"/>
          <w:lang w:eastAsia="zh-CN"/>
        </w:rPr>
      </w:pPr>
      <w:r>
        <w:rPr>
          <w:rFonts w:ascii="方正小标宋_GBK" w:hAnsi="方正小标宋_GBK" w:eastAsia="方正小标宋_GBK" w:cs="方正小标宋_GBK"/>
          <w:b/>
          <w:bCs/>
          <w:i w:val="0"/>
          <w:caps w:val="0"/>
          <w:color w:val="000000"/>
          <w:spacing w:val="0"/>
          <w:sz w:val="36"/>
          <w:szCs w:val="36"/>
          <w:u w:val="none"/>
        </w:rPr>
        <w:t>永兴县</w:t>
      </w:r>
      <w:r>
        <w:rPr>
          <w:rFonts w:hint="eastAsia" w:ascii="方正小标宋_GBK" w:hAnsi="方正小标宋_GBK" w:eastAsia="方正小标宋_GBK" w:cs="方正小标宋_GBK"/>
          <w:b/>
          <w:bCs/>
          <w:i w:val="0"/>
          <w:caps w:val="0"/>
          <w:color w:val="000000"/>
          <w:spacing w:val="0"/>
          <w:sz w:val="36"/>
          <w:szCs w:val="36"/>
          <w:u w:val="none"/>
          <w:lang w:eastAsia="zh-CN"/>
        </w:rPr>
        <w:t>科协</w:t>
      </w:r>
      <w:r>
        <w:rPr>
          <w:rFonts w:hint="default" w:ascii="方正小标宋_GBK" w:hAnsi="方正小标宋_GBK" w:eastAsia="方正小标宋_GBK" w:cs="方正小标宋_GBK"/>
          <w:b/>
          <w:bCs/>
          <w:i w:val="0"/>
          <w:caps w:val="0"/>
          <w:color w:val="000000"/>
          <w:spacing w:val="0"/>
          <w:sz w:val="36"/>
          <w:szCs w:val="36"/>
          <w:u w:val="none"/>
        </w:rPr>
        <w:t>20</w:t>
      </w:r>
      <w:r>
        <w:rPr>
          <w:rFonts w:hint="eastAsia" w:ascii="方正小标宋_GBK" w:hAnsi="方正小标宋_GBK" w:eastAsia="方正小标宋_GBK" w:cs="方正小标宋_GBK"/>
          <w:b/>
          <w:bCs/>
          <w:i w:val="0"/>
          <w:caps w:val="0"/>
          <w:color w:val="000000"/>
          <w:spacing w:val="0"/>
          <w:sz w:val="36"/>
          <w:szCs w:val="36"/>
          <w:u w:val="none"/>
          <w:lang w:val="en-US" w:eastAsia="zh-CN"/>
        </w:rPr>
        <w:t>21</w:t>
      </w:r>
      <w:r>
        <w:rPr>
          <w:rFonts w:hint="default" w:ascii="方正小标宋_GBK" w:hAnsi="方正小标宋_GBK" w:eastAsia="方正小标宋_GBK" w:cs="方正小标宋_GBK"/>
          <w:b/>
          <w:bCs/>
          <w:i w:val="0"/>
          <w:caps w:val="0"/>
          <w:color w:val="000000"/>
          <w:spacing w:val="0"/>
          <w:sz w:val="36"/>
          <w:szCs w:val="36"/>
          <w:u w:val="none"/>
        </w:rPr>
        <w:t>年度部门整体支出绩效评价报</w:t>
      </w:r>
      <w:r>
        <w:rPr>
          <w:rFonts w:hint="eastAsia" w:ascii="方正小标宋_GBK" w:hAnsi="方正小标宋_GBK" w:eastAsia="方正小标宋_GBK" w:cs="方正小标宋_GBK"/>
          <w:b/>
          <w:bCs/>
          <w:i w:val="0"/>
          <w:caps w:val="0"/>
          <w:color w:val="000000"/>
          <w:spacing w:val="0"/>
          <w:sz w:val="36"/>
          <w:szCs w:val="36"/>
          <w:u w:val="none"/>
          <w:lang w:eastAsia="zh-CN"/>
        </w:rPr>
        <w:t>告</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left="0" w:leftChars="0" w:right="0" w:rightChars="0" w:firstLine="482"/>
        <w:textAlignment w:val="auto"/>
        <w:outlineLvl w:val="9"/>
        <w:rPr>
          <w:rFonts w:hint="eastAsia" w:ascii="仿宋" w:hAnsi="仿宋" w:eastAsia="仿宋" w:cs="仿宋"/>
          <w:b/>
          <w:i w:val="0"/>
          <w:caps w:val="0"/>
          <w:color w:val="010101"/>
          <w:spacing w:val="0"/>
          <w:sz w:val="28"/>
          <w:szCs w:val="28"/>
          <w:u w:val="none"/>
        </w:rPr>
      </w:pPr>
      <w:r>
        <w:rPr>
          <w:rFonts w:hint="eastAsia" w:ascii="仿宋" w:hAnsi="仿宋" w:eastAsia="仿宋" w:cs="仿宋"/>
          <w:color w:val="000000" w:themeColor="text1"/>
          <w:kern w:val="0"/>
          <w:sz w:val="28"/>
          <w:szCs w:val="28"/>
          <w14:textFill>
            <w14:solidFill>
              <w14:schemeClr w14:val="tx1"/>
            </w14:solidFill>
          </w14:textFill>
        </w:rPr>
        <w:t>部门单位基本情况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left="482" w:leftChars="0" w:right="0" w:rightChars="0"/>
        <w:textAlignment w:val="auto"/>
        <w:outlineLvl w:val="9"/>
        <w:rPr>
          <w:rFonts w:hint="eastAsia" w:ascii="仿宋" w:hAnsi="仿宋" w:eastAsia="仿宋" w:cs="仿宋"/>
          <w:sz w:val="28"/>
          <w:szCs w:val="28"/>
          <w:u w:val="none"/>
        </w:rPr>
      </w:pPr>
      <w:r>
        <w:rPr>
          <w:rFonts w:hint="eastAsia" w:ascii="仿宋" w:hAnsi="仿宋" w:eastAsia="仿宋" w:cs="仿宋"/>
          <w:b/>
          <w:i w:val="0"/>
          <w:caps w:val="0"/>
          <w:color w:val="010101"/>
          <w:spacing w:val="0"/>
          <w:sz w:val="28"/>
          <w:szCs w:val="28"/>
          <w:u w:val="none"/>
        </w:rPr>
        <w:t>(一)</w:t>
      </w:r>
      <w:r>
        <w:rPr>
          <w:rFonts w:hint="eastAsia" w:ascii="仿宋" w:hAnsi="仿宋" w:eastAsia="仿宋" w:cs="仿宋"/>
          <w:b w:val="0"/>
          <w:i w:val="0"/>
          <w:caps w:val="0"/>
          <w:color w:val="000000"/>
          <w:spacing w:val="0"/>
          <w:sz w:val="28"/>
          <w:szCs w:val="28"/>
          <w:u w:val="none"/>
          <w:shd w:val="clear" w:fill="FFFFFF"/>
        </w:rPr>
        <w:t> </w:t>
      </w:r>
      <w:r>
        <w:rPr>
          <w:rFonts w:hint="eastAsia" w:ascii="仿宋" w:hAnsi="仿宋" w:eastAsia="仿宋" w:cs="仿宋"/>
          <w:b/>
          <w:i w:val="0"/>
          <w:caps w:val="0"/>
          <w:color w:val="000000"/>
          <w:spacing w:val="0"/>
          <w:sz w:val="28"/>
          <w:szCs w:val="28"/>
          <w:u w:val="none"/>
          <w:shd w:val="clear" w:fill="FFFFFF"/>
        </w:rPr>
        <w:t>职能职责</w:t>
      </w:r>
    </w:p>
    <w:p>
      <w:pPr>
        <w:ind w:firstLine="645"/>
        <w:rPr>
          <w:rFonts w:hint="eastAsia" w:ascii="仿宋" w:hAnsi="仿宋" w:eastAsia="仿宋" w:cs="仿宋"/>
          <w:color w:val="333333"/>
          <w:spacing w:val="15"/>
          <w:kern w:val="0"/>
          <w:sz w:val="28"/>
          <w:szCs w:val="28"/>
        </w:rPr>
      </w:pPr>
      <w:r>
        <w:rPr>
          <w:rFonts w:hint="eastAsia" w:ascii="仿宋" w:hAnsi="仿宋" w:eastAsia="仿宋" w:cs="仿宋"/>
          <w:color w:val="333333"/>
          <w:spacing w:val="15"/>
          <w:kern w:val="0"/>
          <w:sz w:val="28"/>
          <w:szCs w:val="28"/>
        </w:rPr>
        <w:t>1.开展学术交流， 活跃学术思想，促进学科发展，推动自主创新。</w:t>
      </w:r>
    </w:p>
    <w:p>
      <w:pPr>
        <w:widowControl/>
        <w:spacing w:before="90" w:after="90" w:line="400" w:lineRule="atLeast"/>
        <w:ind w:right="450" w:firstLine="620" w:firstLineChars="200"/>
        <w:rPr>
          <w:rFonts w:hint="eastAsia" w:ascii="仿宋" w:hAnsi="仿宋" w:eastAsia="仿宋" w:cs="仿宋"/>
          <w:color w:val="333333"/>
          <w:spacing w:val="15"/>
          <w:kern w:val="0"/>
          <w:sz w:val="28"/>
          <w:szCs w:val="28"/>
        </w:rPr>
      </w:pPr>
      <w:r>
        <w:rPr>
          <w:rFonts w:hint="eastAsia" w:ascii="仿宋" w:hAnsi="仿宋" w:eastAsia="仿宋" w:cs="仿宋"/>
          <w:color w:val="333333"/>
          <w:spacing w:val="15"/>
          <w:kern w:val="0"/>
          <w:sz w:val="28"/>
          <w:szCs w:val="28"/>
        </w:rPr>
        <w:t>2.拟定科普工作的具体计划，并组织实施；动员社会各方面力量，开展科普活动和青少年科学技术教育活动，推广先进技术，提高全体公民科学文化素质；指导科普设施场所的规划、建设和管理及科普工作队伍的建设工作。</w:t>
      </w:r>
    </w:p>
    <w:p>
      <w:pPr>
        <w:widowControl/>
        <w:spacing w:before="90" w:after="90" w:line="400" w:lineRule="atLeast"/>
        <w:ind w:right="450" w:firstLine="620" w:firstLineChars="200"/>
        <w:rPr>
          <w:rFonts w:hint="eastAsia" w:ascii="仿宋" w:hAnsi="仿宋" w:eastAsia="仿宋" w:cs="仿宋"/>
          <w:color w:val="000000"/>
          <w:spacing w:val="15"/>
          <w:kern w:val="0"/>
          <w:sz w:val="28"/>
          <w:szCs w:val="28"/>
        </w:rPr>
      </w:pPr>
      <w:r>
        <w:rPr>
          <w:rFonts w:hint="eastAsia" w:ascii="仿宋" w:hAnsi="仿宋" w:eastAsia="仿宋" w:cs="仿宋"/>
          <w:color w:val="333333"/>
          <w:spacing w:val="15"/>
          <w:kern w:val="0"/>
          <w:sz w:val="28"/>
          <w:szCs w:val="28"/>
        </w:rPr>
        <w:t>3.反映科技工作者的意见和要求，维护科学技术工作者的合法权益。组织科技工作者参与科学技术有关规定的制定和政治协商、科学决策、民主监督工作。</w:t>
      </w:r>
    </w:p>
    <w:p>
      <w:pPr>
        <w:widowControl/>
        <w:spacing w:before="90" w:after="90" w:line="400" w:lineRule="atLeast"/>
        <w:ind w:right="450" w:firstLine="523" w:firstLineChars="169"/>
        <w:rPr>
          <w:rFonts w:hint="eastAsia" w:ascii="仿宋" w:hAnsi="仿宋" w:eastAsia="仿宋" w:cs="仿宋"/>
          <w:color w:val="333333"/>
          <w:spacing w:val="15"/>
          <w:kern w:val="0"/>
          <w:sz w:val="28"/>
          <w:szCs w:val="28"/>
        </w:rPr>
      </w:pPr>
      <w:r>
        <w:rPr>
          <w:rFonts w:hint="eastAsia" w:ascii="仿宋" w:hAnsi="仿宋" w:eastAsia="仿宋" w:cs="仿宋"/>
          <w:color w:val="333333"/>
          <w:spacing w:val="15"/>
          <w:kern w:val="0"/>
          <w:sz w:val="28"/>
          <w:szCs w:val="28"/>
        </w:rPr>
        <w:t>4.表彰奖励优秀科技工作者，举荐人才。开展继续教育和培训工作。</w:t>
      </w:r>
    </w:p>
    <w:p>
      <w:pPr>
        <w:widowControl/>
        <w:spacing w:before="90" w:after="90" w:line="400" w:lineRule="atLeast"/>
        <w:ind w:right="450" w:firstLine="525"/>
        <w:rPr>
          <w:rFonts w:hint="eastAsia" w:ascii="仿宋" w:hAnsi="仿宋" w:eastAsia="仿宋" w:cs="仿宋"/>
          <w:color w:val="000000"/>
          <w:spacing w:val="15"/>
          <w:kern w:val="0"/>
          <w:sz w:val="28"/>
          <w:szCs w:val="28"/>
        </w:rPr>
      </w:pPr>
      <w:r>
        <w:rPr>
          <w:rFonts w:hint="eastAsia" w:ascii="仿宋" w:hAnsi="仿宋" w:eastAsia="仿宋" w:cs="仿宋"/>
          <w:color w:val="333333"/>
          <w:spacing w:val="15"/>
          <w:kern w:val="0"/>
          <w:sz w:val="28"/>
          <w:szCs w:val="28"/>
        </w:rPr>
        <w:t>5.开展民间国际科学技术交流活动，促进国际科学技术合作，发展同国外的科学技术团体和科学技术工作者的友好交往。</w:t>
      </w:r>
    </w:p>
    <w:p>
      <w:pPr>
        <w:widowControl/>
        <w:spacing w:before="90" w:after="90" w:line="400" w:lineRule="atLeast"/>
        <w:ind w:right="450" w:firstLine="620" w:firstLineChars="200"/>
        <w:rPr>
          <w:rFonts w:hint="eastAsia" w:ascii="仿宋" w:hAnsi="仿宋" w:eastAsia="仿宋" w:cs="仿宋"/>
          <w:color w:val="000000"/>
          <w:spacing w:val="15"/>
          <w:kern w:val="0"/>
          <w:sz w:val="28"/>
          <w:szCs w:val="28"/>
        </w:rPr>
      </w:pPr>
      <w:r>
        <w:rPr>
          <w:rFonts w:hint="eastAsia" w:ascii="仿宋" w:hAnsi="仿宋" w:eastAsia="仿宋" w:cs="仿宋"/>
          <w:color w:val="333333"/>
          <w:spacing w:val="15"/>
          <w:kern w:val="0"/>
          <w:sz w:val="28"/>
          <w:szCs w:val="28"/>
        </w:rPr>
        <w:t>6.开展科学论证、咨询服务，提出政策建议，促进科学技术成果的转化；接受委托、承担科学技术项目评估、成果鉴定，专业技术职务资格评审等工作。</w:t>
      </w:r>
    </w:p>
    <w:p>
      <w:pPr>
        <w:widowControl/>
        <w:spacing w:before="90" w:after="90" w:line="400" w:lineRule="atLeast"/>
        <w:ind w:right="450" w:firstLine="620" w:firstLineChars="200"/>
        <w:rPr>
          <w:rFonts w:hint="eastAsia" w:ascii="仿宋" w:hAnsi="仿宋" w:eastAsia="仿宋" w:cs="仿宋"/>
          <w:color w:val="000000"/>
          <w:spacing w:val="15"/>
          <w:kern w:val="0"/>
          <w:sz w:val="28"/>
          <w:szCs w:val="28"/>
        </w:rPr>
      </w:pPr>
      <w:r>
        <w:rPr>
          <w:rFonts w:hint="eastAsia" w:ascii="仿宋" w:hAnsi="仿宋" w:eastAsia="仿宋" w:cs="仿宋"/>
          <w:color w:val="333333"/>
          <w:spacing w:val="15"/>
          <w:kern w:val="0"/>
          <w:sz w:val="28"/>
          <w:szCs w:val="28"/>
        </w:rPr>
        <w:t>7.负责全县性学会、科技类社会团体的业务主管。负责联系和指导企业科协、院校科协和民营企业科技团体，组织厂会协作、厂校协作活动。</w:t>
      </w:r>
    </w:p>
    <w:p>
      <w:pPr>
        <w:widowControl/>
        <w:spacing w:before="90" w:after="90" w:line="400" w:lineRule="atLeast"/>
        <w:ind w:right="450" w:firstLine="620" w:firstLineChars="200"/>
        <w:rPr>
          <w:rFonts w:hint="eastAsia" w:ascii="仿宋" w:hAnsi="仿宋" w:eastAsia="仿宋" w:cs="仿宋"/>
          <w:color w:val="000000"/>
          <w:spacing w:val="15"/>
          <w:kern w:val="0"/>
          <w:sz w:val="28"/>
          <w:szCs w:val="28"/>
        </w:rPr>
      </w:pPr>
      <w:r>
        <w:rPr>
          <w:rFonts w:hint="eastAsia" w:ascii="仿宋" w:hAnsi="仿宋" w:eastAsia="仿宋" w:cs="仿宋"/>
          <w:color w:val="333333"/>
          <w:spacing w:val="15"/>
          <w:kern w:val="0"/>
          <w:sz w:val="28"/>
          <w:szCs w:val="28"/>
        </w:rPr>
        <w:t>8.建立和发展城乡科普网络；组织开展农村科普示范创建工作，负责科普示范基地、示范户、农技协会的归口管理和业务指导，发挥其在农村产业调整和社会化服务体系中的作用。</w:t>
      </w:r>
    </w:p>
    <w:p>
      <w:pPr>
        <w:ind w:firstLine="775" w:firstLineChars="250"/>
        <w:rPr>
          <w:rFonts w:hint="eastAsia" w:ascii="仿宋" w:hAnsi="仿宋" w:eastAsia="仿宋" w:cs="仿宋"/>
          <w:color w:val="333333"/>
          <w:spacing w:val="15"/>
          <w:kern w:val="0"/>
          <w:sz w:val="28"/>
          <w:szCs w:val="28"/>
        </w:rPr>
      </w:pPr>
      <w:r>
        <w:rPr>
          <w:rFonts w:hint="eastAsia" w:ascii="仿宋" w:hAnsi="仿宋" w:eastAsia="仿宋" w:cs="仿宋"/>
          <w:color w:val="333333"/>
          <w:spacing w:val="15"/>
          <w:kern w:val="0"/>
          <w:sz w:val="28"/>
          <w:szCs w:val="28"/>
        </w:rPr>
        <w:t>9.协调县级自然科学专门学会之间的关系，加强与社会科学的学科联系，兴办符合县科协宗旨的社会公益性事业。</w:t>
      </w:r>
    </w:p>
    <w:p>
      <w:pPr>
        <w:ind w:firstLine="775" w:firstLineChars="250"/>
        <w:rPr>
          <w:rFonts w:hint="eastAsia" w:ascii="仿宋" w:hAnsi="仿宋" w:eastAsia="仿宋" w:cs="仿宋"/>
          <w:sz w:val="28"/>
          <w:szCs w:val="28"/>
        </w:rPr>
      </w:pPr>
      <w:r>
        <w:rPr>
          <w:rFonts w:hint="eastAsia" w:ascii="仿宋" w:hAnsi="仿宋" w:eastAsia="仿宋" w:cs="仿宋"/>
          <w:color w:val="333333"/>
          <w:spacing w:val="15"/>
          <w:kern w:val="0"/>
          <w:sz w:val="28"/>
          <w:szCs w:val="28"/>
        </w:rPr>
        <w:t>10.完成县委和县政府交办的其它事项。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left="0" w:leftChars="0" w:right="0" w:rightChars="0" w:firstLine="643"/>
        <w:jc w:val="both"/>
        <w:textAlignment w:val="auto"/>
        <w:outlineLvl w:val="9"/>
        <w:rPr>
          <w:rFonts w:hint="eastAsia" w:ascii="仿宋" w:hAnsi="仿宋" w:eastAsia="仿宋" w:cs="仿宋"/>
          <w:sz w:val="28"/>
          <w:szCs w:val="28"/>
          <w:u w:val="none"/>
        </w:rPr>
      </w:pPr>
      <w:r>
        <w:rPr>
          <w:rFonts w:hint="eastAsia" w:ascii="仿宋" w:hAnsi="仿宋" w:eastAsia="仿宋" w:cs="仿宋"/>
          <w:b/>
          <w:i w:val="0"/>
          <w:caps w:val="0"/>
          <w:color w:val="010101"/>
          <w:spacing w:val="0"/>
          <w:sz w:val="28"/>
          <w:szCs w:val="28"/>
          <w:u w:val="none"/>
        </w:rPr>
        <w:t>（二）机构设置</w:t>
      </w:r>
    </w:p>
    <w:p>
      <w:pPr>
        <w:ind w:firstLine="1139" w:firstLineChars="407"/>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本单位内设：办公室、学会部和科普部等三个正股级部门。无二级机构。</w:t>
      </w:r>
    </w:p>
    <w:p>
      <w:pPr>
        <w:widowControl/>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二、一般公共预算支出情况</w:t>
      </w:r>
    </w:p>
    <w:p>
      <w:pPr>
        <w:widowControl/>
        <w:spacing w:line="560" w:lineRule="exact"/>
        <w:ind w:left="64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（一）基本支出情况</w:t>
      </w:r>
    </w:p>
    <w:p>
      <w:pPr>
        <w:widowControl/>
        <w:spacing w:line="560" w:lineRule="exact"/>
        <w:ind w:firstLine="560" w:firstLineChars="20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r>
        <w:rPr>
          <w:rFonts w:hint="eastAsia" w:ascii="仿宋" w:hAnsi="仿宋" w:eastAsia="仿宋" w:cs="仿宋"/>
          <w:color w:val="000000" w:themeColor="text1"/>
          <w:sz w:val="28"/>
          <w:szCs w:val="28"/>
          <w:lang w:val="en-US" w:eastAsia="zh-CN"/>
          <w14:textFill>
            <w14:solidFill>
              <w14:schemeClr w14:val="tx1"/>
            </w14:solidFill>
          </w14:textFill>
        </w:rPr>
        <w:t>21年</w:t>
      </w:r>
      <w:r>
        <w:rPr>
          <w:rFonts w:hint="eastAsia" w:ascii="仿宋" w:hAnsi="仿宋" w:eastAsia="仿宋" w:cs="仿宋"/>
          <w:color w:val="000000" w:themeColor="text1"/>
          <w:sz w:val="28"/>
          <w:szCs w:val="28"/>
          <w14:textFill>
            <w14:solidFill>
              <w14:schemeClr w14:val="tx1"/>
            </w14:solidFill>
          </w14:textFill>
        </w:rPr>
        <w:t>实际支出</w:t>
      </w:r>
      <w:r>
        <w:rPr>
          <w:rFonts w:hint="eastAsia" w:ascii="仿宋" w:hAnsi="仿宋" w:eastAsia="仿宋" w:cs="仿宋"/>
          <w:color w:val="000000" w:themeColor="text1"/>
          <w:sz w:val="28"/>
          <w:szCs w:val="28"/>
          <w:lang w:val="en-US" w:eastAsia="zh-CN"/>
          <w14:textFill>
            <w14:solidFill>
              <w14:schemeClr w14:val="tx1"/>
            </w14:solidFill>
          </w14:textFill>
        </w:rPr>
        <w:t>66.44</w:t>
      </w:r>
      <w:r>
        <w:rPr>
          <w:rFonts w:hint="eastAsia" w:ascii="仿宋" w:hAnsi="仿宋" w:eastAsia="仿宋" w:cs="仿宋"/>
          <w:color w:val="000000" w:themeColor="text1"/>
          <w:sz w:val="28"/>
          <w:szCs w:val="28"/>
          <w14:textFill>
            <w14:solidFill>
              <w14:schemeClr w14:val="tx1"/>
            </w14:solidFill>
          </w14:textFill>
        </w:rPr>
        <w:t>万元，其中：人员经费</w:t>
      </w:r>
      <w:r>
        <w:rPr>
          <w:rFonts w:hint="eastAsia" w:ascii="仿宋" w:hAnsi="仿宋" w:eastAsia="仿宋" w:cs="仿宋"/>
          <w:color w:val="000000" w:themeColor="text1"/>
          <w:sz w:val="28"/>
          <w:szCs w:val="28"/>
          <w:lang w:val="en-US" w:eastAsia="zh-CN"/>
          <w14:textFill>
            <w14:solidFill>
              <w14:schemeClr w14:val="tx1"/>
            </w14:solidFill>
          </w14:textFill>
        </w:rPr>
        <w:t>56.74</w:t>
      </w:r>
      <w:r>
        <w:rPr>
          <w:rFonts w:hint="eastAsia" w:ascii="仿宋" w:hAnsi="仿宋" w:eastAsia="仿宋" w:cs="仿宋"/>
          <w:color w:val="000000" w:themeColor="text1"/>
          <w:sz w:val="28"/>
          <w:szCs w:val="28"/>
          <w14:textFill>
            <w14:solidFill>
              <w14:schemeClr w14:val="tx1"/>
            </w14:solidFill>
          </w14:textFill>
        </w:rPr>
        <w:t>万元，主要包括：（基本工资、津贴补贴、奖金、社会保障缴费、伙食补助费、绩效工资、其他工资福利支出、生活补助、奖励金等）；公用经费</w:t>
      </w:r>
      <w:r>
        <w:rPr>
          <w:rFonts w:hint="eastAsia" w:ascii="仿宋" w:hAnsi="仿宋" w:eastAsia="仿宋" w:cs="仿宋"/>
          <w:color w:val="000000" w:themeColor="text1"/>
          <w:sz w:val="28"/>
          <w:szCs w:val="28"/>
          <w:lang w:val="en-US" w:eastAsia="zh-CN"/>
          <w14:textFill>
            <w14:solidFill>
              <w14:schemeClr w14:val="tx1"/>
            </w14:solidFill>
          </w14:textFill>
        </w:rPr>
        <w:t>9.70</w:t>
      </w:r>
      <w:r>
        <w:rPr>
          <w:rFonts w:hint="eastAsia" w:ascii="仿宋" w:hAnsi="仿宋" w:eastAsia="仿宋" w:cs="仿宋"/>
          <w:color w:val="000000" w:themeColor="text1"/>
          <w:sz w:val="28"/>
          <w:szCs w:val="28"/>
          <w14:textFill>
            <w14:solidFill>
              <w14:schemeClr w14:val="tx1"/>
            </w14:solidFill>
          </w14:textFill>
        </w:rPr>
        <w:t>万元，主要包括：（办公费、印刷费、水费、电费、邮电费、差旅费、租赁费、会议费、培训费、公务接待费、专用材料费、劳务费、工会经费、福利费、公务用车运行维护费、其他交通费用、税金及附加费用、其他商品和服务支出、办公设备购置、专用设备购置等）。</w:t>
      </w:r>
    </w:p>
    <w:p>
      <w:pPr>
        <w:widowControl/>
        <w:spacing w:line="560" w:lineRule="exact"/>
        <w:ind w:left="64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w:t>
      </w:r>
      <w:r>
        <w:rPr>
          <w:rFonts w:hint="eastAsia" w:ascii="仿宋" w:hAnsi="仿宋" w:eastAsia="仿宋" w:cs="仿宋"/>
          <w:b/>
          <w:color w:val="000000" w:themeColor="text1"/>
          <w:sz w:val="28"/>
          <w:szCs w:val="28"/>
          <w14:textFill>
            <w14:solidFill>
              <w14:schemeClr w14:val="tx1"/>
            </w14:solidFill>
          </w14:textFill>
        </w:rPr>
        <w:t>项目支出情况</w:t>
      </w:r>
    </w:p>
    <w:p>
      <w:pPr>
        <w:widowControl/>
        <w:spacing w:line="560" w:lineRule="exact"/>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县科协</w:t>
      </w:r>
      <w:r>
        <w:rPr>
          <w:rFonts w:hint="eastAsia" w:ascii="仿宋" w:hAnsi="仿宋" w:eastAsia="仿宋" w:cs="仿宋"/>
          <w:color w:val="000000" w:themeColor="text1"/>
          <w:sz w:val="28"/>
          <w:szCs w:val="28"/>
          <w14:textFill>
            <w14:solidFill>
              <w14:schemeClr w14:val="tx1"/>
            </w14:solidFill>
          </w14:textFill>
        </w:rPr>
        <w:t>项目实际支出</w:t>
      </w:r>
      <w:r>
        <w:rPr>
          <w:rFonts w:hint="eastAsia" w:ascii="仿宋" w:hAnsi="仿宋" w:eastAsia="仿宋" w:cs="仿宋"/>
          <w:color w:val="000000" w:themeColor="text1"/>
          <w:sz w:val="28"/>
          <w:szCs w:val="28"/>
          <w:lang w:val="en-US" w:eastAsia="zh-CN"/>
          <w14:textFill>
            <w14:solidFill>
              <w14:schemeClr w14:val="tx1"/>
            </w14:solidFill>
          </w14:textFill>
        </w:rPr>
        <w:t>33.31</w:t>
      </w:r>
      <w:r>
        <w:rPr>
          <w:rFonts w:hint="eastAsia" w:ascii="仿宋" w:hAnsi="仿宋" w:eastAsia="仿宋" w:cs="仿宋"/>
          <w:color w:val="000000" w:themeColor="text1"/>
          <w:sz w:val="28"/>
          <w:szCs w:val="28"/>
          <w14:textFill>
            <w14:solidFill>
              <w14:schemeClr w14:val="tx1"/>
            </w14:solidFill>
          </w14:textFill>
        </w:rPr>
        <w:t>万元，其中</w:t>
      </w:r>
      <w:r>
        <w:rPr>
          <w:rFonts w:hint="eastAsia" w:ascii="仿宋" w:hAnsi="仿宋" w:eastAsia="仿宋" w:cs="仿宋"/>
          <w:color w:val="000000" w:themeColor="text1"/>
          <w:sz w:val="28"/>
          <w:szCs w:val="28"/>
          <w:lang w:eastAsia="zh-CN"/>
          <w14:textFill>
            <w14:solidFill>
              <w14:schemeClr w14:val="tx1"/>
            </w14:solidFill>
          </w14:textFill>
        </w:rPr>
        <w:t>科普经费</w:t>
      </w:r>
      <w:r>
        <w:rPr>
          <w:rFonts w:hint="eastAsia" w:ascii="仿宋" w:hAnsi="仿宋" w:eastAsia="仿宋" w:cs="仿宋"/>
          <w:color w:val="000000" w:themeColor="text1"/>
          <w:sz w:val="28"/>
          <w:szCs w:val="28"/>
          <w:lang w:val="en-US" w:eastAsia="zh-CN"/>
          <w14:textFill>
            <w14:solidFill>
              <w14:schemeClr w14:val="tx1"/>
            </w14:solidFill>
          </w14:textFill>
        </w:rPr>
        <w:t>33.31</w:t>
      </w:r>
      <w:r>
        <w:rPr>
          <w:rFonts w:hint="eastAsia" w:ascii="仿宋" w:hAnsi="仿宋" w:eastAsia="仿宋" w:cs="仿宋"/>
          <w:color w:val="000000" w:themeColor="text1"/>
          <w:kern w:val="0"/>
          <w:sz w:val="28"/>
          <w:szCs w:val="28"/>
          <w:lang w:eastAsia="zh-CN"/>
          <w14:textFill>
            <w14:solidFill>
              <w14:schemeClr w14:val="tx1"/>
            </w14:solidFill>
          </w14:textFill>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left="0" w:leftChars="0" w:right="0" w:rightChars="0" w:firstLine="562" w:firstLineChars="200"/>
        <w:jc w:val="both"/>
        <w:textAlignment w:val="auto"/>
        <w:outlineLvl w:val="9"/>
        <w:rPr>
          <w:rFonts w:hint="eastAsia" w:ascii="仿宋" w:hAnsi="仿宋" w:eastAsia="仿宋" w:cs="仿宋"/>
          <w:b/>
          <w:bCs w:val="0"/>
          <w:sz w:val="28"/>
          <w:szCs w:val="28"/>
          <w:u w:val="none"/>
        </w:rPr>
      </w:pPr>
      <w:r>
        <w:rPr>
          <w:rFonts w:hint="eastAsia" w:ascii="仿宋" w:hAnsi="仿宋" w:eastAsia="仿宋" w:cs="仿宋"/>
          <w:b/>
          <w:bCs w:val="0"/>
          <w:i w:val="0"/>
          <w:caps w:val="0"/>
          <w:color w:val="010101"/>
          <w:spacing w:val="0"/>
          <w:sz w:val="28"/>
          <w:szCs w:val="28"/>
          <w:u w:val="none"/>
          <w:lang w:val="en-US" w:eastAsia="zh-CN"/>
        </w:rPr>
        <w:t>三、</w:t>
      </w:r>
      <w:r>
        <w:rPr>
          <w:rFonts w:hint="eastAsia" w:ascii="仿宋" w:hAnsi="仿宋" w:eastAsia="仿宋" w:cs="仿宋"/>
          <w:b/>
          <w:bCs w:val="0"/>
          <w:i w:val="0"/>
          <w:caps w:val="0"/>
          <w:color w:val="010101"/>
          <w:spacing w:val="0"/>
          <w:sz w:val="28"/>
          <w:szCs w:val="28"/>
          <w:u w:val="none"/>
        </w:rPr>
        <w:t>职责履行</w:t>
      </w:r>
      <w:r>
        <w:rPr>
          <w:rFonts w:hint="eastAsia" w:ascii="仿宋" w:hAnsi="仿宋" w:eastAsia="仿宋" w:cs="仿宋"/>
          <w:b/>
          <w:bCs w:val="0"/>
          <w:i w:val="0"/>
          <w:caps w:val="0"/>
          <w:color w:val="010101"/>
          <w:spacing w:val="0"/>
          <w:sz w:val="28"/>
          <w:szCs w:val="28"/>
          <w:u w:val="none"/>
          <w:lang w:val="en-US" w:eastAsia="zh-CN"/>
        </w:rPr>
        <w:t>及履职效益情况</w:t>
      </w:r>
    </w:p>
    <w:p>
      <w:pPr>
        <w:ind w:firstLine="422" w:firstLineChars="150"/>
        <w:rPr>
          <w:rFonts w:hint="eastAsia" w:ascii="仿宋" w:hAnsi="仿宋" w:eastAsia="仿宋" w:cs="仿宋"/>
          <w:sz w:val="28"/>
          <w:szCs w:val="28"/>
        </w:rPr>
      </w:pPr>
      <w:r>
        <w:rPr>
          <w:rFonts w:hint="eastAsia" w:ascii="仿宋" w:hAnsi="仿宋" w:eastAsia="仿宋" w:cs="仿宋"/>
          <w:b/>
          <w:sz w:val="28"/>
          <w:szCs w:val="28"/>
          <w:lang w:val="en-US" w:eastAsia="zh-CN"/>
        </w:rPr>
        <w:t>　1.</w:t>
      </w:r>
      <w:r>
        <w:rPr>
          <w:rFonts w:hint="eastAsia" w:ascii="仿宋" w:hAnsi="仿宋" w:eastAsia="仿宋" w:cs="仿宋"/>
          <w:b/>
          <w:sz w:val="28"/>
          <w:szCs w:val="28"/>
        </w:rPr>
        <w:t>压实责任，意识形态强管理。</w:t>
      </w:r>
      <w:r>
        <w:rPr>
          <w:rFonts w:hint="eastAsia" w:ascii="仿宋" w:hAnsi="仿宋" w:eastAsia="仿宋" w:cs="仿宋"/>
          <w:sz w:val="28"/>
          <w:szCs w:val="28"/>
        </w:rPr>
        <w:t>科协党组认真贯彻落实中央、省市县委关于意识形态工作安排部署，把意识形态工作作为党组一项极端重要的工作，全面落实意识形态工作责任制，狠抓意识形态领域各项工作任务落实，真正让意识形态工作起到了统一思想、凝聚人心、汇集力量的强有力作用。</w:t>
      </w:r>
    </w:p>
    <w:p>
      <w:pPr>
        <w:ind w:firstLine="422" w:firstLineChars="150"/>
        <w:rPr>
          <w:rFonts w:hint="eastAsia" w:ascii="仿宋" w:hAnsi="仿宋" w:eastAsia="仿宋" w:cs="仿宋"/>
          <w:color w:val="000000"/>
          <w:kern w:val="0"/>
          <w:sz w:val="28"/>
          <w:szCs w:val="28"/>
        </w:rPr>
      </w:pPr>
      <w:r>
        <w:rPr>
          <w:rFonts w:hint="eastAsia" w:ascii="仿宋" w:hAnsi="仿宋" w:eastAsia="仿宋" w:cs="仿宋"/>
          <w:b/>
          <w:sz w:val="28"/>
          <w:szCs w:val="28"/>
          <w:lang w:val="en-US" w:eastAsia="zh-CN"/>
        </w:rPr>
        <w:t>2.</w:t>
      </w:r>
      <w:r>
        <w:rPr>
          <w:rFonts w:hint="eastAsia" w:ascii="仿宋" w:hAnsi="仿宋" w:eastAsia="仿宋" w:cs="仿宋"/>
          <w:b/>
          <w:sz w:val="28"/>
          <w:szCs w:val="28"/>
        </w:rPr>
        <w:t>围绕中心，科普活动出特色。</w:t>
      </w:r>
      <w:r>
        <w:rPr>
          <w:rFonts w:hint="eastAsia" w:ascii="仿宋" w:hAnsi="仿宋" w:eastAsia="仿宋" w:cs="仿宋"/>
          <w:sz w:val="28"/>
          <w:szCs w:val="28"/>
        </w:rPr>
        <w:t>紧紧围绕县委第十二</w:t>
      </w:r>
      <w:r>
        <w:rPr>
          <w:rFonts w:hint="eastAsia" w:ascii="仿宋" w:hAnsi="仿宋" w:eastAsia="仿宋" w:cs="仿宋"/>
          <w:sz w:val="28"/>
          <w:szCs w:val="28"/>
          <w:lang w:eastAsia="zh-CN"/>
        </w:rPr>
        <w:t>次</w:t>
      </w:r>
      <w:bookmarkStart w:id="0" w:name="_GoBack"/>
      <w:bookmarkEnd w:id="0"/>
      <w:r>
        <w:rPr>
          <w:rFonts w:hint="eastAsia" w:ascii="仿宋" w:hAnsi="仿宋" w:eastAsia="仿宋" w:cs="仿宋"/>
          <w:sz w:val="28"/>
          <w:szCs w:val="28"/>
        </w:rPr>
        <w:t>党代会提出的“一二四四五”发展思路，以“全国科普日”活动品牌为依托，开展了丰富多彩的科普活动。分主场活动、科普基地和科技企业联合科普活动、科普进校园活动、科技三下乡活动和宣传科技工作者活动五大内容。9月20日，永兴县全国科普日活动暨青少年科技创新大赛启动仪式在永兴县五星学校举行。主场活动分</w:t>
      </w:r>
      <w:r>
        <w:rPr>
          <w:rFonts w:hint="eastAsia" w:ascii="仿宋" w:hAnsi="仿宋" w:eastAsia="仿宋" w:cs="仿宋"/>
          <w:color w:val="333333"/>
          <w:sz w:val="28"/>
          <w:szCs w:val="28"/>
        </w:rPr>
        <w:t>科普秀表演、机器人舞蹈展示、航模静态展示、科技体验、科普秀直播、科普知识展览展示、航模及无人机表演等其大板块</w:t>
      </w:r>
      <w:r>
        <w:rPr>
          <w:rFonts w:hint="eastAsia" w:ascii="仿宋" w:hAnsi="仿宋" w:eastAsia="仿宋" w:cs="仿宋"/>
          <w:sz w:val="28"/>
          <w:szCs w:val="28"/>
        </w:rPr>
        <w:t>。全县</w:t>
      </w:r>
      <w:r>
        <w:rPr>
          <w:rFonts w:hint="eastAsia" w:ascii="仿宋" w:hAnsi="仿宋" w:eastAsia="仿宋" w:cs="仿宋"/>
          <w:color w:val="333333"/>
          <w:sz w:val="28"/>
          <w:szCs w:val="28"/>
        </w:rPr>
        <w:t>各中小学校长、科技辅导员，永兴县五星学校全体师生，全民科学素质纲要办成员单位负责人等两千余人参加了启动仪式。</w:t>
      </w:r>
      <w:r>
        <w:rPr>
          <w:rFonts w:hint="eastAsia" w:ascii="仿宋" w:hAnsi="仿宋" w:eastAsia="仿宋" w:cs="仿宋"/>
          <w:sz w:val="28"/>
          <w:szCs w:val="28"/>
        </w:rPr>
        <w:t>9月14日-30日，泰兴银业公司（银楼）、联合国银、众德科技有限公司、雄风科技有限公司集中免费向公众开放，通过现场参观、交流体验、专家讲解宣传公众对永兴稀贵金属产业发展史，稀贵金属作用、提纯加工技术等知识有了深入</w:t>
      </w:r>
      <w:r>
        <w:rPr>
          <w:rFonts w:hint="eastAsia" w:ascii="仿宋" w:hAnsi="仿宋" w:eastAsia="仿宋" w:cs="仿宋"/>
          <w:color w:val="333333"/>
          <w:sz w:val="28"/>
          <w:szCs w:val="28"/>
        </w:rPr>
        <w:t>的了解。8月至12月，陆续开展防溺水知识、心（生）理知识和科普大篷车进校园活动，活动深受广大师生和学生家长的欢迎。9月23日-25日，集中在马田镇、大布江乡和柏林镇开展科技三下乡活动，整合各单位资源</w:t>
      </w:r>
      <w:r>
        <w:rPr>
          <w:rFonts w:hint="eastAsia" w:ascii="仿宋" w:hAnsi="仿宋" w:eastAsia="仿宋" w:cs="仿宋"/>
          <w:color w:val="000000"/>
          <w:kern w:val="0"/>
          <w:sz w:val="28"/>
          <w:szCs w:val="28"/>
        </w:rPr>
        <w:t>普及科学知识、推广农业农技新产品，</w:t>
      </w:r>
      <w:r>
        <w:rPr>
          <w:rFonts w:hint="eastAsia" w:ascii="仿宋" w:hAnsi="仿宋" w:eastAsia="仿宋" w:cs="仿宋"/>
          <w:color w:val="333333"/>
          <w:sz w:val="28"/>
          <w:szCs w:val="28"/>
        </w:rPr>
        <w:t>着力推动移风易俗、提升农民精神风貌，形成农村良好科学氛围</w:t>
      </w:r>
      <w:r>
        <w:rPr>
          <w:rFonts w:hint="eastAsia" w:ascii="仿宋" w:hAnsi="仿宋" w:eastAsia="仿宋" w:cs="仿宋"/>
          <w:color w:val="000000"/>
          <w:kern w:val="0"/>
          <w:sz w:val="28"/>
          <w:szCs w:val="28"/>
        </w:rPr>
        <w:t>；组织科普志愿者现场农技指导、上门义诊；结合贫困户现实需求举办种养殖培训班，发放物质资料，助力产业脱贫。</w:t>
      </w:r>
    </w:p>
    <w:p>
      <w:pPr>
        <w:ind w:firstLine="422" w:firstLineChars="150"/>
        <w:rPr>
          <w:rFonts w:hint="eastAsia" w:ascii="仿宋" w:hAnsi="仿宋" w:eastAsia="仿宋" w:cs="仿宋"/>
          <w:sz w:val="28"/>
          <w:szCs w:val="28"/>
        </w:rPr>
      </w:pPr>
      <w:r>
        <w:rPr>
          <w:rFonts w:hint="eastAsia" w:ascii="仿宋" w:hAnsi="仿宋" w:eastAsia="仿宋" w:cs="仿宋"/>
          <w:b/>
          <w:sz w:val="28"/>
          <w:szCs w:val="28"/>
          <w:lang w:val="en-US" w:eastAsia="zh-CN"/>
        </w:rPr>
        <w:t>　3.</w:t>
      </w:r>
      <w:r>
        <w:rPr>
          <w:rFonts w:hint="eastAsia" w:ascii="仿宋" w:hAnsi="仿宋" w:eastAsia="仿宋" w:cs="仿宋"/>
          <w:b/>
          <w:sz w:val="28"/>
          <w:szCs w:val="28"/>
        </w:rPr>
        <w:t>创新方式，服务人才营氛围。</w:t>
      </w:r>
      <w:r>
        <w:rPr>
          <w:rFonts w:hint="eastAsia" w:ascii="仿宋" w:hAnsi="仿宋" w:eastAsia="仿宋" w:cs="仿宋"/>
          <w:color w:val="000000"/>
          <w:kern w:val="0"/>
          <w:sz w:val="28"/>
          <w:szCs w:val="28"/>
        </w:rPr>
        <w:t>充分发挥桥梁纽带作用，积极搭建平台，服务科技工作者成长成才。</w:t>
      </w:r>
      <w:r>
        <w:rPr>
          <w:rFonts w:hint="eastAsia" w:ascii="仿宋" w:hAnsi="仿宋" w:eastAsia="仿宋" w:cs="仿宋"/>
          <w:color w:val="333333"/>
          <w:sz w:val="28"/>
          <w:szCs w:val="28"/>
        </w:rPr>
        <w:t>5月8日，联合县人才领导小组办公室、县农业农村局、县老科协，邀请中国农业技术推广协会富硒农业技术专业委员会主任、中农硒科富硒农业技术研究院院长朱珍华来我县举办科技讲座。我县106名乡镇农技站站长、种粮大户和冰糖橙种植大户开展了培训，参训人员普遍反映增长了知识，开阔了眼界，专家的讲座令人受益匪浅。9月20日，聘请郴州市青少年科技教育协会理事长、宜章县第一中学高级教师张永强老师举办《科技创新起于灵感，臻于完美》</w:t>
      </w:r>
      <w:r>
        <w:rPr>
          <w:rFonts w:hint="eastAsia" w:ascii="仿宋" w:hAnsi="仿宋" w:eastAsia="仿宋" w:cs="仿宋"/>
          <w:sz w:val="28"/>
          <w:szCs w:val="28"/>
        </w:rPr>
        <w:t>辅导讲座，全县60余名中小学校科技辅导员老师参加了培训，参训老师从理论和实操都受到启迪。通过这次培训，培育了热爱科学、具有创新精神和实践能力的青少年科技创新后备人才。</w:t>
      </w:r>
    </w:p>
    <w:p>
      <w:pPr>
        <w:ind w:firstLine="420" w:firstLineChars="150"/>
        <w:rPr>
          <w:rFonts w:hint="eastAsia" w:ascii="仿宋" w:hAnsi="仿宋" w:eastAsia="仿宋" w:cs="仿宋"/>
          <w:color w:val="000000"/>
          <w:kern w:val="0"/>
          <w:sz w:val="28"/>
          <w:szCs w:val="28"/>
        </w:rPr>
      </w:pPr>
      <w:r>
        <w:rPr>
          <w:rFonts w:hint="eastAsia" w:ascii="仿宋" w:hAnsi="仿宋" w:eastAsia="仿宋" w:cs="仿宋"/>
          <w:sz w:val="28"/>
          <w:szCs w:val="28"/>
        </w:rPr>
        <w:t>以庆祝第二届“全国科技工作者日”为契机，联合县广播电视局推出《最美科技工作者》栏目，分期从《永兴新闻》《新永兴》</w:t>
      </w:r>
      <w:r>
        <w:rPr>
          <w:rFonts w:hint="eastAsia" w:ascii="仿宋" w:hAnsi="仿宋" w:eastAsia="仿宋" w:cs="仿宋"/>
          <w:color w:val="000000"/>
          <w:kern w:val="0"/>
          <w:sz w:val="28"/>
          <w:szCs w:val="28"/>
        </w:rPr>
        <w:t>《永兴手机报》等新媒体融合客户端滚动宣传报道致力提产降耗的钻研人贺毅林，推动企业创新的先行者彭志平，励志成才、艰辛创业的多功能花片机发明人曹壬圣、曹彦春。通过宣传展示科技工作者的先进典型，在全社会营造了尊重、爱护、培养科技人才的浓厚氛围。</w:t>
      </w:r>
    </w:p>
    <w:p>
      <w:pPr>
        <w:spacing w:line="620" w:lineRule="exact"/>
        <w:ind w:firstLine="562" w:firstLineChars="200"/>
        <w:jc w:val="left"/>
        <w:rPr>
          <w:rFonts w:hint="eastAsia" w:ascii="仿宋" w:hAnsi="仿宋" w:eastAsia="仿宋" w:cs="仿宋"/>
          <w:color w:val="000000"/>
          <w:kern w:val="0"/>
          <w:sz w:val="28"/>
          <w:szCs w:val="28"/>
        </w:rPr>
      </w:pPr>
      <w:r>
        <w:rPr>
          <w:rFonts w:hint="eastAsia" w:ascii="仿宋" w:hAnsi="仿宋" w:eastAsia="仿宋" w:cs="仿宋"/>
          <w:b/>
          <w:sz w:val="28"/>
          <w:szCs w:val="28"/>
          <w:lang w:val="en-US" w:eastAsia="zh-CN"/>
        </w:rPr>
        <w:t>4.</w:t>
      </w:r>
      <w:r>
        <w:rPr>
          <w:rFonts w:hint="eastAsia" w:ascii="仿宋" w:hAnsi="仿宋" w:eastAsia="仿宋" w:cs="仿宋"/>
          <w:b/>
          <w:sz w:val="28"/>
          <w:szCs w:val="28"/>
        </w:rPr>
        <w:t>突出重点，科学素质稳提升。</w:t>
      </w:r>
      <w:r>
        <w:rPr>
          <w:rFonts w:hint="eastAsia" w:ascii="仿宋" w:hAnsi="仿宋" w:eastAsia="仿宋" w:cs="仿宋"/>
          <w:color w:val="000000"/>
          <w:kern w:val="0"/>
          <w:sz w:val="28"/>
          <w:szCs w:val="28"/>
        </w:rPr>
        <w:t>提升青少年科学素质。3月19 日，在城区中学海选出3名优秀选手参加郴州市青少年航天知识大赛，永兴队荣获二等奖。6月13日-12月15日，联合县委宣传部、县教育局、县科工局、团县委举办20</w:t>
      </w:r>
      <w:r>
        <w:rPr>
          <w:rFonts w:hint="eastAsia" w:ascii="仿宋" w:hAnsi="仿宋" w:eastAsia="仿宋" w:cs="仿宋"/>
          <w:color w:val="000000"/>
          <w:kern w:val="0"/>
          <w:sz w:val="28"/>
          <w:szCs w:val="28"/>
          <w:lang w:val="en-US" w:eastAsia="zh-CN"/>
        </w:rPr>
        <w:t>21</w:t>
      </w:r>
      <w:r>
        <w:rPr>
          <w:rFonts w:hint="eastAsia" w:ascii="仿宋" w:hAnsi="仿宋" w:eastAsia="仿宋" w:cs="仿宋"/>
          <w:color w:val="000000"/>
          <w:kern w:val="0"/>
          <w:sz w:val="28"/>
          <w:szCs w:val="28"/>
        </w:rPr>
        <w:t>年青少年科技创新大赛。大赛</w:t>
      </w:r>
      <w:r>
        <w:rPr>
          <w:rFonts w:hint="eastAsia" w:ascii="仿宋" w:hAnsi="仿宋" w:eastAsia="仿宋" w:cs="仿宋"/>
          <w:sz w:val="28"/>
          <w:szCs w:val="28"/>
        </w:rPr>
        <w:t>分大赛筹备、大赛启动、组织实施、评比表彰、工作总结五个阶段进行，提交参赛作品160件，作品类型和质量都得到很大提升。提升</w:t>
      </w:r>
      <w:r>
        <w:rPr>
          <w:rFonts w:hint="eastAsia" w:ascii="仿宋" w:hAnsi="仿宋" w:eastAsia="仿宋" w:cs="仿宋"/>
          <w:color w:val="000000"/>
          <w:kern w:val="0"/>
          <w:sz w:val="28"/>
          <w:szCs w:val="28"/>
        </w:rPr>
        <w:t>城镇劳动人口科学素质。联合</w:t>
      </w:r>
      <w:r>
        <w:rPr>
          <w:rFonts w:hint="eastAsia" w:ascii="仿宋" w:hAnsi="仿宋" w:eastAsia="仿宋" w:cs="仿宋"/>
          <w:sz w:val="28"/>
          <w:szCs w:val="28"/>
        </w:rPr>
        <w:t>老科协因时因地制宜，共举办各类技术培训班62期，培训骨干3100人次。联合县人民医院举办保健讲座、义诊10场次，赠送药品8000元，发放资料38600份，答询600人次，受益450人次。10月9日，我们联合县卫健局、县卫健分会、县民政局，组织县人民医院、县中医院、县妇幼保健院14名骨干医务人员，到县中心敬老院为62名老人了一个保健袋，发放保健资料140份。提升</w:t>
      </w:r>
      <w:r>
        <w:rPr>
          <w:rFonts w:hint="eastAsia" w:ascii="仿宋" w:hAnsi="仿宋" w:eastAsia="仿宋" w:cs="仿宋"/>
          <w:color w:val="000000"/>
          <w:kern w:val="0"/>
          <w:sz w:val="28"/>
          <w:szCs w:val="28"/>
        </w:rPr>
        <w:t>领导干部科学素质。以县委党校、行政学院和“银都讲坛”为平台，开设科技知识课程，着力培养善于领导、会管理、懂科技的新型人才。</w:t>
      </w:r>
    </w:p>
    <w:p>
      <w:pPr>
        <w:widowControl/>
        <w:ind w:firstLine="422" w:firstLineChars="150"/>
        <w:jc w:val="left"/>
        <w:rPr>
          <w:rFonts w:hint="eastAsia" w:ascii="仿宋" w:hAnsi="仿宋" w:eastAsia="仿宋" w:cs="仿宋"/>
          <w:color w:val="000000"/>
          <w:kern w:val="0"/>
          <w:sz w:val="28"/>
          <w:szCs w:val="28"/>
        </w:rPr>
      </w:pPr>
      <w:r>
        <w:rPr>
          <w:rFonts w:hint="eastAsia" w:ascii="仿宋" w:hAnsi="仿宋" w:eastAsia="仿宋" w:cs="仿宋"/>
          <w:b/>
          <w:sz w:val="28"/>
          <w:szCs w:val="28"/>
          <w:lang w:val="en-US" w:eastAsia="zh-CN"/>
        </w:rPr>
        <w:t>　5.</w:t>
      </w:r>
      <w:r>
        <w:rPr>
          <w:rFonts w:hint="eastAsia" w:ascii="仿宋" w:hAnsi="仿宋" w:eastAsia="仿宋" w:cs="仿宋"/>
          <w:b/>
          <w:sz w:val="28"/>
          <w:szCs w:val="28"/>
        </w:rPr>
        <w:t>深化改革，自身建设上水平。</w:t>
      </w:r>
      <w:r>
        <w:rPr>
          <w:rFonts w:hint="eastAsia" w:ascii="仿宋" w:hAnsi="仿宋" w:eastAsia="仿宋" w:cs="仿宋"/>
          <w:color w:val="000000"/>
          <w:kern w:val="0"/>
          <w:sz w:val="28"/>
          <w:szCs w:val="28"/>
        </w:rPr>
        <w:t>科协基层组织扎根基层，实现全覆盖。全面实施“科学系统深化改革落实年”活动，全县14个乡镇、2个街道、1个省级经济开发区、晶讯光电和雄风环保2个高新技术企业分别成立了科学技术协会，242个村（社区）建立了科普小组，并纳入了党群服务中心。加大基础设施建设，科普服务能力稳步提高。与永兴县广播电视台合作开辟了《银都科普》栏目，结合广大群众实际需求的科普知识和各项大型科普活动，有针对性地进行科普宣传，《新永兴》《永兴手机报》等同步播出，有力地促进了科学知识的普及与广大人民群众科学素质的提高。 20</w:t>
      </w:r>
      <w:r>
        <w:rPr>
          <w:rFonts w:hint="eastAsia" w:ascii="仿宋" w:hAnsi="仿宋" w:eastAsia="仿宋" w:cs="仿宋"/>
          <w:color w:val="000000"/>
          <w:kern w:val="0"/>
          <w:sz w:val="28"/>
          <w:szCs w:val="28"/>
          <w:lang w:val="en-US" w:eastAsia="zh-CN"/>
        </w:rPr>
        <w:t>21</w:t>
      </w:r>
      <w:r>
        <w:rPr>
          <w:rFonts w:hint="eastAsia" w:ascii="仿宋" w:hAnsi="仿宋" w:eastAsia="仿宋" w:cs="仿宋"/>
          <w:color w:val="000000"/>
          <w:kern w:val="0"/>
          <w:sz w:val="28"/>
          <w:szCs w:val="28"/>
        </w:rPr>
        <w:t>年鼓励科技企业和农技协等依托自己的厂房、产品和企业文化建设科普基础设施，满足公众对科普文化的需求。如联合国银科技发展有限公司投入15万元打造“百壶园”银文化科普基地，沃源农庄投入10万元建设农耕文化科普基地。全县科普设施建设不断完善。 深入开展“不忘初心、牢记使命” 主题教育，思想政治收到洗礼，干事创业更有担当，为民服务更积极，党风作风更清新。</w:t>
      </w:r>
    </w:p>
    <w:p>
      <w:pPr>
        <w:widowControl/>
        <w:shd w:val="clear" w:color="auto" w:fill="FFFFFF"/>
        <w:spacing w:line="560" w:lineRule="exact"/>
        <w:ind w:firstLine="562" w:firstLineChars="200"/>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四、存在的主要问题和下一步改进措施</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（一）存在的主要问题</w:t>
      </w:r>
      <w:r>
        <w:rPr>
          <w:rFonts w:hint="eastAsia" w:ascii="仿宋" w:hAnsi="仿宋" w:eastAsia="仿宋" w:cs="仿宋"/>
          <w:sz w:val="28"/>
          <w:szCs w:val="28"/>
          <w:lang w:eastAsia="zh-CN"/>
        </w:rPr>
        <w:t>：</w:t>
      </w:r>
      <w:r>
        <w:rPr>
          <w:rFonts w:hint="eastAsia" w:ascii="仿宋" w:hAnsi="仿宋" w:eastAsia="仿宋" w:cs="仿宋"/>
          <w:color w:val="000000" w:themeColor="text1"/>
          <w:kern w:val="0"/>
          <w:sz w:val="28"/>
          <w:szCs w:val="28"/>
          <w14:textFill>
            <w14:solidFill>
              <w14:schemeClr w14:val="tx1"/>
            </w14:solidFill>
          </w14:textFill>
        </w:rPr>
        <w:t>预算前瞻性不够</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导致</w:t>
      </w:r>
      <w:r>
        <w:rPr>
          <w:rFonts w:hint="eastAsia" w:ascii="仿宋" w:hAnsi="仿宋" w:eastAsia="仿宋" w:cs="仿宋"/>
          <w:sz w:val="28"/>
          <w:szCs w:val="28"/>
          <w:lang w:eastAsia="zh-CN"/>
        </w:rPr>
        <w:t>预算支出与实际执行支出出现偏差。</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仿宋" w:hAnsi="仿宋" w:eastAsia="仿宋" w:cs="仿宋"/>
          <w:sz w:val="28"/>
          <w:szCs w:val="28"/>
        </w:rPr>
      </w:pPr>
      <w:r>
        <w:rPr>
          <w:rFonts w:hint="eastAsia" w:ascii="仿宋" w:hAnsi="仿宋" w:eastAsia="仿宋" w:cs="仿宋"/>
          <w:b/>
          <w:bCs/>
          <w:sz w:val="28"/>
          <w:szCs w:val="28"/>
          <w:lang w:eastAsia="zh-CN"/>
        </w:rPr>
        <w:t>（二）下一步改进措施：</w:t>
      </w:r>
      <w:r>
        <w:rPr>
          <w:rFonts w:hint="eastAsia" w:ascii="仿宋" w:hAnsi="仿宋" w:eastAsia="仿宋" w:cs="仿宋"/>
          <w:sz w:val="28"/>
          <w:szCs w:val="28"/>
        </w:rPr>
        <w:t>加强预算编制的前瞻性，避免预算支出与实际执行出现较大偏差的情况，执行中确需调整预算的，按规定程序报经批准；落实预算执行分析，及时了解预算执行差异，合理调整、纠正预算执行偏差，切实提高部门预算收支管理水平。</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10101"/>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五、绩效自评结果拟应用和公开情况</w:t>
      </w:r>
    </w:p>
    <w:p>
      <w:pPr>
        <w:widowControl/>
        <w:shd w:val="clear" w:color="auto" w:fill="FFFFFF"/>
        <w:spacing w:line="56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将本次绩效自评结果在政府门户网公开，并运用到单位整体运行管理中，对不足之处加以改进完善，提高单位整体支出绩效水平。</w:t>
      </w:r>
    </w:p>
    <w:p>
      <w:pPr>
        <w:widowControl/>
        <w:shd w:val="clear" w:color="auto" w:fill="FFFFFF"/>
        <w:spacing w:line="56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六、其他需要说明的情况</w:t>
      </w:r>
    </w:p>
    <w:p>
      <w:pPr>
        <w:widowControl/>
        <w:shd w:val="clear" w:color="auto" w:fill="FFFFFF"/>
        <w:spacing w:line="560" w:lineRule="exact"/>
        <w:ind w:firstLine="560" w:firstLineChars="200"/>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无</w:t>
      </w:r>
      <w:r>
        <w:rPr>
          <w:rFonts w:hint="eastAsia" w:ascii="仿宋" w:hAnsi="仿宋" w:eastAsia="仿宋" w:cs="仿宋"/>
          <w:color w:val="000000" w:themeColor="text1"/>
          <w:kern w:val="0"/>
          <w:sz w:val="28"/>
          <w:szCs w:val="28"/>
          <w:lang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left="0" w:leftChars="0" w:right="0" w:rightChars="0" w:firstLine="560" w:firstLineChars="200"/>
        <w:jc w:val="both"/>
        <w:textAlignment w:val="auto"/>
        <w:outlineLvl w:val="9"/>
        <w:rPr>
          <w:rFonts w:hint="eastAsia" w:ascii="仿宋" w:hAnsi="仿宋" w:eastAsia="仿宋" w:cs="仿宋"/>
          <w:b w:val="0"/>
          <w:i w:val="0"/>
          <w:caps w:val="0"/>
          <w:color w:val="000000" w:themeColor="text1"/>
          <w:spacing w:val="0"/>
          <w:sz w:val="28"/>
          <w:szCs w:val="28"/>
          <w:shd w:val="clear" w:fill="FFFFFF"/>
          <w14:textFill>
            <w14:solidFill>
              <w14:schemeClr w14:val="tx1"/>
            </w14:solidFill>
          </w14:textFill>
        </w:rPr>
      </w:pPr>
    </w:p>
    <w:p>
      <w:pPr>
        <w:pStyle w:val="7"/>
        <w:keepNext w:val="0"/>
        <w:keepLines w:val="0"/>
        <w:pageBreakBefore w:val="0"/>
        <w:widowControl/>
        <w:kinsoku/>
        <w:wordWrap/>
        <w:overflowPunct/>
        <w:topLinePunct w:val="0"/>
        <w:autoSpaceDE/>
        <w:autoSpaceDN/>
        <w:bidi w:val="0"/>
        <w:snapToGrid/>
        <w:spacing w:before="0" w:beforeAutospacing="0" w:after="0" w:afterAutospacing="0" w:line="560" w:lineRule="exact"/>
        <w:ind w:right="0" w:rightChars="0"/>
        <w:textAlignment w:val="auto"/>
        <w:outlineLvl w:val="9"/>
        <w:rPr>
          <w:rFonts w:hint="eastAsia" w:ascii="仿宋" w:hAnsi="仿宋" w:eastAsia="仿宋" w:cs="仿宋"/>
          <w:color w:val="010101"/>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right="0" w:rightChars="0" w:firstLine="936" w:firstLineChars="400"/>
        <w:jc w:val="both"/>
        <w:textAlignment w:val="auto"/>
        <w:outlineLvl w:val="9"/>
        <w:rPr>
          <w:rFonts w:hint="eastAsia" w:ascii="仿宋" w:hAnsi="仿宋" w:eastAsia="仿宋" w:cs="仿宋"/>
          <w:b w:val="0"/>
          <w:i w:val="0"/>
          <w:caps w:val="0"/>
          <w:color w:val="000000" w:themeColor="text1"/>
          <w:spacing w:val="-23"/>
          <w:sz w:val="28"/>
          <w:szCs w:val="28"/>
          <w:shd w:val="clear" w:fill="FFFFF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b w:val="0"/>
          <w:i w:val="0"/>
          <w:caps w:val="0"/>
          <w:color w:val="010101"/>
          <w:spacing w:val="0"/>
          <w:sz w:val="28"/>
          <w:szCs w:val="28"/>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b w:val="0"/>
          <w:i w:val="0"/>
          <w:caps w:val="0"/>
          <w:color w:val="010101"/>
          <w:spacing w:val="0"/>
          <w:sz w:val="28"/>
          <w:szCs w:val="28"/>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4200" w:firstLineChars="1500"/>
        <w:jc w:val="left"/>
        <w:rPr>
          <w:rFonts w:hint="eastAsia" w:ascii="仿宋" w:hAnsi="仿宋" w:eastAsia="仿宋" w:cs="仿宋"/>
          <w:b w:val="0"/>
          <w:i w:val="0"/>
          <w:caps w:val="0"/>
          <w:color w:val="010101"/>
          <w:spacing w:val="0"/>
          <w:sz w:val="28"/>
          <w:szCs w:val="28"/>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4200" w:firstLineChars="1500"/>
        <w:jc w:val="left"/>
        <w:rPr>
          <w:rFonts w:hint="eastAsia" w:ascii="仿宋" w:hAnsi="仿宋" w:eastAsia="仿宋" w:cs="仿宋"/>
          <w:b w:val="0"/>
          <w:i w:val="0"/>
          <w:caps w:val="0"/>
          <w:color w:val="010101"/>
          <w:spacing w:val="0"/>
          <w:sz w:val="28"/>
          <w:szCs w:val="28"/>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4200" w:firstLineChars="1500"/>
        <w:jc w:val="left"/>
        <w:rPr>
          <w:rFonts w:hint="eastAsia" w:ascii="仿宋" w:hAnsi="仿宋" w:eastAsia="仿宋" w:cs="仿宋"/>
          <w:b w:val="0"/>
          <w:i w:val="0"/>
          <w:caps w:val="0"/>
          <w:color w:val="010101"/>
          <w:spacing w:val="0"/>
          <w:sz w:val="28"/>
          <w:szCs w:val="28"/>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4200" w:firstLineChars="1500"/>
        <w:jc w:val="left"/>
        <w:rPr>
          <w:rFonts w:hint="eastAsia" w:ascii="仿宋" w:hAnsi="仿宋" w:eastAsia="仿宋" w:cs="仿宋"/>
          <w:b w:val="0"/>
          <w:i w:val="0"/>
          <w:caps w:val="0"/>
          <w:color w:val="010101"/>
          <w:spacing w:val="0"/>
          <w:sz w:val="28"/>
          <w:szCs w:val="28"/>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4200" w:firstLineChars="1500"/>
        <w:jc w:val="left"/>
        <w:rPr>
          <w:rFonts w:hint="eastAsia" w:ascii="仿宋" w:hAnsi="仿宋" w:eastAsia="仿宋" w:cs="仿宋"/>
          <w:b w:val="0"/>
          <w:i w:val="0"/>
          <w:caps w:val="0"/>
          <w:color w:val="010101"/>
          <w:spacing w:val="0"/>
          <w:sz w:val="28"/>
          <w:szCs w:val="28"/>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sz w:val="28"/>
          <w:szCs w:val="28"/>
          <w:u w:val="none"/>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840" w:firstLine="640"/>
        <w:jc w:val="center"/>
        <w:rPr>
          <w:rFonts w:hint="eastAsia" w:ascii="仿宋" w:hAnsi="仿宋" w:eastAsia="仿宋" w:cs="仿宋"/>
          <w:sz w:val="28"/>
          <w:szCs w:val="28"/>
          <w:u w:val="none"/>
        </w:rPr>
      </w:pPr>
      <w:r>
        <w:rPr>
          <w:rFonts w:hint="eastAsia" w:ascii="仿宋" w:hAnsi="仿宋" w:eastAsia="仿宋" w:cs="仿宋"/>
          <w:b w:val="0"/>
          <w:i w:val="0"/>
          <w:caps w:val="0"/>
          <w:color w:val="010101"/>
          <w:spacing w:val="0"/>
          <w:sz w:val="28"/>
          <w:szCs w:val="28"/>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rPr>
          <w:rFonts w:hint="eastAsia" w:ascii="仿宋" w:hAnsi="仿宋" w:eastAsia="仿宋" w:cs="仿宋"/>
          <w:sz w:val="28"/>
          <w:szCs w:val="28"/>
          <w:u w:val="none"/>
        </w:rPr>
      </w:pPr>
      <w:r>
        <w:rPr>
          <w:rFonts w:hint="eastAsia" w:ascii="仿宋" w:hAnsi="仿宋" w:eastAsia="仿宋" w:cs="仿宋"/>
          <w:b w:val="0"/>
          <w:i w:val="0"/>
          <w:caps w:val="0"/>
          <w:color w:val="000000"/>
          <w:spacing w:val="0"/>
          <w:sz w:val="28"/>
          <w:szCs w:val="28"/>
          <w:u w:val="none"/>
        </w:rPr>
        <w:t> </w:t>
      </w:r>
    </w:p>
    <w:sectPr>
      <w:footerReference r:id="rId3" w:type="default"/>
      <w:pgSz w:w="11906" w:h="16838"/>
      <w:pgMar w:top="1440" w:right="1418"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A37CB"/>
    <w:multiLevelType w:val="singleLevel"/>
    <w:tmpl w:val="636A37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YTFlZjZjZDViZWQ4ZDEwOWVmMWNmNDNkZGU2OWEifQ=="/>
  </w:docVars>
  <w:rsids>
    <w:rsidRoot w:val="7F0703C4"/>
    <w:rsid w:val="01461F28"/>
    <w:rsid w:val="01865FAC"/>
    <w:rsid w:val="0466685A"/>
    <w:rsid w:val="04EE21C0"/>
    <w:rsid w:val="04FB5658"/>
    <w:rsid w:val="05487820"/>
    <w:rsid w:val="065C1A22"/>
    <w:rsid w:val="079E64DE"/>
    <w:rsid w:val="07D9544B"/>
    <w:rsid w:val="0813393D"/>
    <w:rsid w:val="08FC6580"/>
    <w:rsid w:val="093D7483"/>
    <w:rsid w:val="097535FC"/>
    <w:rsid w:val="0A420D4A"/>
    <w:rsid w:val="0F1B2F58"/>
    <w:rsid w:val="0F2B188F"/>
    <w:rsid w:val="10376492"/>
    <w:rsid w:val="107E4412"/>
    <w:rsid w:val="145E22EA"/>
    <w:rsid w:val="15072363"/>
    <w:rsid w:val="15BB76B4"/>
    <w:rsid w:val="169E32B4"/>
    <w:rsid w:val="16DD6E1B"/>
    <w:rsid w:val="16F64A72"/>
    <w:rsid w:val="173F01F2"/>
    <w:rsid w:val="18102882"/>
    <w:rsid w:val="18CF0011"/>
    <w:rsid w:val="193656B7"/>
    <w:rsid w:val="193A32AC"/>
    <w:rsid w:val="1AAD73DD"/>
    <w:rsid w:val="1C461770"/>
    <w:rsid w:val="1D2E7B8D"/>
    <w:rsid w:val="1D657698"/>
    <w:rsid w:val="1EB54EBC"/>
    <w:rsid w:val="1EB91B12"/>
    <w:rsid w:val="1EF4796F"/>
    <w:rsid w:val="1FFD0B25"/>
    <w:rsid w:val="20A138F7"/>
    <w:rsid w:val="20DE308C"/>
    <w:rsid w:val="2148288B"/>
    <w:rsid w:val="217543AE"/>
    <w:rsid w:val="2248756A"/>
    <w:rsid w:val="230E71BF"/>
    <w:rsid w:val="24E01A7D"/>
    <w:rsid w:val="25D25954"/>
    <w:rsid w:val="2711165A"/>
    <w:rsid w:val="27542E59"/>
    <w:rsid w:val="28BE137C"/>
    <w:rsid w:val="29F30BE5"/>
    <w:rsid w:val="2CF23871"/>
    <w:rsid w:val="2D965E3B"/>
    <w:rsid w:val="2F3D184A"/>
    <w:rsid w:val="2F9029B0"/>
    <w:rsid w:val="31464BF2"/>
    <w:rsid w:val="320C2137"/>
    <w:rsid w:val="3225651E"/>
    <w:rsid w:val="32516AE2"/>
    <w:rsid w:val="3275191E"/>
    <w:rsid w:val="32A0161A"/>
    <w:rsid w:val="331D0619"/>
    <w:rsid w:val="33C00B37"/>
    <w:rsid w:val="341E52E3"/>
    <w:rsid w:val="368B3976"/>
    <w:rsid w:val="374C13A8"/>
    <w:rsid w:val="37EC4678"/>
    <w:rsid w:val="38503F80"/>
    <w:rsid w:val="3A6A31A9"/>
    <w:rsid w:val="3C926F55"/>
    <w:rsid w:val="3D4C691F"/>
    <w:rsid w:val="3D4E4049"/>
    <w:rsid w:val="3EC9471C"/>
    <w:rsid w:val="3F381D24"/>
    <w:rsid w:val="3F871406"/>
    <w:rsid w:val="3F87640A"/>
    <w:rsid w:val="404B3A58"/>
    <w:rsid w:val="413B1444"/>
    <w:rsid w:val="416C669B"/>
    <w:rsid w:val="42156E99"/>
    <w:rsid w:val="42821E7E"/>
    <w:rsid w:val="43AD65F7"/>
    <w:rsid w:val="44483517"/>
    <w:rsid w:val="44D12CCE"/>
    <w:rsid w:val="459327AB"/>
    <w:rsid w:val="45C84468"/>
    <w:rsid w:val="465A416C"/>
    <w:rsid w:val="46C91F21"/>
    <w:rsid w:val="47642D36"/>
    <w:rsid w:val="48F57EF2"/>
    <w:rsid w:val="49544B42"/>
    <w:rsid w:val="4CEF16C9"/>
    <w:rsid w:val="4D32408D"/>
    <w:rsid w:val="4E250B65"/>
    <w:rsid w:val="4E52446F"/>
    <w:rsid w:val="4F8B47E3"/>
    <w:rsid w:val="4FE04B6C"/>
    <w:rsid w:val="50C40360"/>
    <w:rsid w:val="53482699"/>
    <w:rsid w:val="556F39D4"/>
    <w:rsid w:val="56084509"/>
    <w:rsid w:val="566E5795"/>
    <w:rsid w:val="572A5834"/>
    <w:rsid w:val="57963259"/>
    <w:rsid w:val="592C6944"/>
    <w:rsid w:val="59AD36E3"/>
    <w:rsid w:val="5A1E354C"/>
    <w:rsid w:val="5B1976BA"/>
    <w:rsid w:val="5B500C31"/>
    <w:rsid w:val="5B556536"/>
    <w:rsid w:val="5DD66223"/>
    <w:rsid w:val="5E801AAE"/>
    <w:rsid w:val="5EAA4049"/>
    <w:rsid w:val="5F661566"/>
    <w:rsid w:val="5F735B4A"/>
    <w:rsid w:val="5FF04ADB"/>
    <w:rsid w:val="613213B7"/>
    <w:rsid w:val="61364F83"/>
    <w:rsid w:val="616F3962"/>
    <w:rsid w:val="61716563"/>
    <w:rsid w:val="64BC46AC"/>
    <w:rsid w:val="65F56351"/>
    <w:rsid w:val="6624039D"/>
    <w:rsid w:val="681A658F"/>
    <w:rsid w:val="69A64C3F"/>
    <w:rsid w:val="69AD6143"/>
    <w:rsid w:val="69EE2DB5"/>
    <w:rsid w:val="69EE6D40"/>
    <w:rsid w:val="6B317E61"/>
    <w:rsid w:val="6B654779"/>
    <w:rsid w:val="6B8D242E"/>
    <w:rsid w:val="6C5B43C7"/>
    <w:rsid w:val="6D6040F5"/>
    <w:rsid w:val="6DB3507D"/>
    <w:rsid w:val="6F433E3F"/>
    <w:rsid w:val="71011353"/>
    <w:rsid w:val="716F315C"/>
    <w:rsid w:val="723965EF"/>
    <w:rsid w:val="724A36C8"/>
    <w:rsid w:val="72586CFA"/>
    <w:rsid w:val="732F3898"/>
    <w:rsid w:val="74471569"/>
    <w:rsid w:val="75CF3C74"/>
    <w:rsid w:val="76BA49E7"/>
    <w:rsid w:val="77D62105"/>
    <w:rsid w:val="787B2BE8"/>
    <w:rsid w:val="79651CF5"/>
    <w:rsid w:val="7A576678"/>
    <w:rsid w:val="7A9C7679"/>
    <w:rsid w:val="7B3B6B3E"/>
    <w:rsid w:val="7B7D0901"/>
    <w:rsid w:val="7C1B529D"/>
    <w:rsid w:val="7CB14135"/>
    <w:rsid w:val="7D223F1E"/>
    <w:rsid w:val="7E191F56"/>
    <w:rsid w:val="7EEA3BE1"/>
    <w:rsid w:val="7F0703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qFormat/>
    <w:uiPriority w:val="0"/>
    <w:rPr>
      <w:color w:val="333333"/>
      <w:u w:val="none"/>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paragraph" w:customStyle="1" w:styleId="13">
    <w:name w:val="p0"/>
    <w:basedOn w:val="1"/>
    <w:qFormat/>
    <w:uiPriority w:val="0"/>
    <w:pPr>
      <w:widowControl/>
    </w:pPr>
    <w:rPr>
      <w:kern w:val="0"/>
      <w:szCs w:val="21"/>
    </w:rPr>
  </w:style>
  <w:style w:type="character" w:customStyle="1" w:styleId="14">
    <w:name w:val="icon1"/>
    <w:basedOn w:val="9"/>
    <w:qFormat/>
    <w:uiPriority w:val="0"/>
  </w:style>
  <w:style w:type="character" w:customStyle="1" w:styleId="15">
    <w:name w:val="wx-space"/>
    <w:basedOn w:val="9"/>
    <w:qFormat/>
    <w:uiPriority w:val="0"/>
  </w:style>
  <w:style w:type="character" w:customStyle="1" w:styleId="16">
    <w:name w:val="wx-space1"/>
    <w:basedOn w:val="9"/>
    <w:qFormat/>
    <w:uiPriority w:val="0"/>
  </w:style>
  <w:style w:type="character" w:customStyle="1" w:styleId="17">
    <w:name w:val="icon4"/>
    <w:basedOn w:val="9"/>
    <w:qFormat/>
    <w:uiPriority w:val="0"/>
  </w:style>
  <w:style w:type="character" w:customStyle="1" w:styleId="18">
    <w:name w:val="icon5"/>
    <w:basedOn w:val="9"/>
    <w:qFormat/>
    <w:uiPriority w:val="0"/>
  </w:style>
  <w:style w:type="character" w:customStyle="1" w:styleId="19">
    <w:name w:val="icon8"/>
    <w:basedOn w:val="9"/>
    <w:qFormat/>
    <w:uiPriority w:val="0"/>
  </w:style>
  <w:style w:type="character" w:customStyle="1" w:styleId="20">
    <w:name w:val="icon7"/>
    <w:basedOn w:val="9"/>
    <w:qFormat/>
    <w:uiPriority w:val="0"/>
  </w:style>
  <w:style w:type="character" w:customStyle="1" w:styleId="21">
    <w:name w:val="icon2"/>
    <w:basedOn w:val="9"/>
    <w:qFormat/>
    <w:uiPriority w:val="0"/>
  </w:style>
  <w:style w:type="character" w:customStyle="1" w:styleId="22">
    <w:name w:val="icon3"/>
    <w:basedOn w:val="9"/>
    <w:qFormat/>
    <w:uiPriority w:val="0"/>
  </w:style>
  <w:style w:type="character" w:customStyle="1" w:styleId="23">
    <w:name w:val="icon6"/>
    <w:basedOn w:val="9"/>
    <w:qFormat/>
    <w:uiPriority w:val="0"/>
  </w:style>
  <w:style w:type="character" w:customStyle="1" w:styleId="24">
    <w:name w:val="hover20"/>
    <w:basedOn w:val="9"/>
    <w:qFormat/>
    <w:uiPriority w:val="0"/>
    <w:rPr>
      <w:color w:val="000000"/>
      <w:shd w:val="clear" w:fill="FFFFFF"/>
    </w:rPr>
  </w:style>
  <w:style w:type="character" w:customStyle="1" w:styleId="25">
    <w:name w:val="bsharetext"/>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3183</Words>
  <Characters>3275</Characters>
  <Lines>0</Lines>
  <Paragraphs>0</Paragraphs>
  <TotalTime>8</TotalTime>
  <ScaleCrop>false</ScaleCrop>
  <LinksUpToDate>false</LinksUpToDate>
  <CharactersWithSpaces>3290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2018-05-14T14:12:00Z</dcterms:created>
  <dc:creator>Administrator</dc:creator>
  <cp:lastModifiedBy>wery</cp:lastModifiedBy>
  <cp:lastPrinted>2018-05-15T11:22:00Z</cp:lastPrinted>
  <dcterms:modified xsi:type="dcterms:W3CDTF">2022-11-04T13:52:02Z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0C3C44BF36C8425BAA6CAC93BA33501C</vt:lpwstr>
  </property>
</Properties>
</file>