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Calibri" w:hAnsi="Calibri" w:eastAsia="黑体" w:cs="Times New Roman"/>
          <w:color w:val="auto"/>
          <w:sz w:val="21"/>
          <w:szCs w:val="32"/>
          <w:lang w:eastAsia="zh-CN"/>
        </w:rPr>
      </w:pPr>
      <w:r>
        <w:rPr>
          <w:rFonts w:ascii="Calibri" w:hAnsi="Calibri" w:eastAsia="黑体" w:cs="Times New Roman"/>
          <w:color w:val="auto"/>
          <w:sz w:val="21"/>
          <w:szCs w:val="32"/>
        </w:rPr>
        <w:t>附件</w:t>
      </w:r>
      <w:r>
        <w:rPr>
          <w:rFonts w:hint="eastAsia" w:ascii="Calibri" w:hAnsi="Calibri" w:eastAsia="黑体" w:cs="Times New Roman"/>
          <w:color w:val="auto"/>
          <w:sz w:val="21"/>
          <w:szCs w:val="32"/>
          <w:lang w:val="en-US" w:eastAsia="zh-CN"/>
        </w:rPr>
        <w:t>1</w:t>
      </w:r>
    </w:p>
    <w:p>
      <w:pPr>
        <w:spacing w:line="560" w:lineRule="exact"/>
        <w:jc w:val="center"/>
        <w:rPr>
          <w:rFonts w:hint="eastAsia" w:ascii="黑体" w:hAnsi="黑体" w:eastAsia="黑体" w:cs="黑体"/>
          <w:b w:val="0"/>
          <w:bCs w:val="0"/>
          <w:color w:val="auto"/>
          <w:kern w:val="0"/>
          <w:sz w:val="40"/>
          <w:szCs w:val="40"/>
        </w:rPr>
      </w:pPr>
      <w:bookmarkStart w:id="0" w:name="_GoBack"/>
      <w:r>
        <w:rPr>
          <w:rFonts w:hint="eastAsia" w:ascii="黑体" w:hAnsi="黑体" w:eastAsia="黑体" w:cs="黑体"/>
          <w:b w:val="0"/>
          <w:bCs w:val="0"/>
          <w:color w:val="auto"/>
          <w:kern w:val="0"/>
          <w:sz w:val="40"/>
          <w:szCs w:val="40"/>
        </w:rPr>
        <w:t>202</w:t>
      </w:r>
      <w:r>
        <w:rPr>
          <w:rFonts w:hint="eastAsia" w:ascii="黑体" w:hAnsi="黑体" w:eastAsia="黑体" w:cs="黑体"/>
          <w:b w:val="0"/>
          <w:bCs w:val="0"/>
          <w:color w:val="auto"/>
          <w:kern w:val="0"/>
          <w:sz w:val="40"/>
          <w:szCs w:val="40"/>
          <w:lang w:val="en-US" w:eastAsia="zh-CN"/>
        </w:rPr>
        <w:t>2</w:t>
      </w:r>
      <w:r>
        <w:rPr>
          <w:rFonts w:hint="eastAsia" w:ascii="黑体" w:hAnsi="黑体" w:eastAsia="黑体" w:cs="黑体"/>
          <w:b w:val="0"/>
          <w:bCs w:val="0"/>
          <w:color w:val="auto"/>
          <w:kern w:val="0"/>
          <w:sz w:val="40"/>
          <w:szCs w:val="40"/>
        </w:rPr>
        <w:t>年度部门整体支出绩效评价指标评分表</w:t>
      </w:r>
    </w:p>
    <w:bookmarkEnd w:id="0"/>
    <w:p>
      <w:pPr>
        <w:spacing w:line="560" w:lineRule="exact"/>
        <w:jc w:val="left"/>
        <w:rPr>
          <w:rFonts w:hint="eastAsia" w:ascii="仿宋_GB2312" w:hAnsi="仿宋_GB2312" w:eastAsia="仿宋_GB2312" w:cs="仿宋_GB2312"/>
          <w:color w:val="auto"/>
          <w:kern w:val="0"/>
          <w:sz w:val="21"/>
          <w:szCs w:val="21"/>
          <w:lang w:eastAsia="zh-CN"/>
        </w:rPr>
      </w:pPr>
      <w:r>
        <w:rPr>
          <w:rFonts w:hint="eastAsia" w:ascii="仿宋_GB2312" w:hAnsi="仿宋_GB2312" w:eastAsia="宋体" w:cs="仿宋_GB2312"/>
          <w:color w:val="auto"/>
          <w:kern w:val="0"/>
          <w:sz w:val="21"/>
          <w:szCs w:val="21"/>
        </w:rPr>
        <w:t>填报单位（盖章）：</w:t>
      </w:r>
      <w:r>
        <w:rPr>
          <w:rFonts w:hint="eastAsia" w:ascii="仿宋_GB2312" w:hAnsi="仿宋_GB2312" w:eastAsia="宋体" w:cs="仿宋_GB2312"/>
          <w:color w:val="auto"/>
          <w:kern w:val="0"/>
          <w:sz w:val="21"/>
          <w:szCs w:val="21"/>
          <w:lang w:eastAsia="zh-CN"/>
        </w:rPr>
        <w:t>永兴县农业农村局</w:t>
      </w:r>
    </w:p>
    <w:tbl>
      <w:tblPr>
        <w:tblStyle w:val="5"/>
        <w:tblW w:w="0" w:type="auto"/>
        <w:jc w:val="center"/>
        <w:tblLayout w:type="fixed"/>
        <w:tblCellMar>
          <w:top w:w="0" w:type="dxa"/>
          <w:left w:w="108" w:type="dxa"/>
          <w:bottom w:w="0" w:type="dxa"/>
          <w:right w:w="108" w:type="dxa"/>
        </w:tblCellMar>
      </w:tblPr>
      <w:tblGrid>
        <w:gridCol w:w="376"/>
        <w:gridCol w:w="590"/>
        <w:gridCol w:w="507"/>
        <w:gridCol w:w="620"/>
        <w:gridCol w:w="916"/>
        <w:gridCol w:w="574"/>
        <w:gridCol w:w="2850"/>
        <w:gridCol w:w="2864"/>
        <w:gridCol w:w="467"/>
      </w:tblGrid>
      <w:tr>
        <w:tblPrEx>
          <w:tblCellMar>
            <w:top w:w="0" w:type="dxa"/>
            <w:left w:w="108" w:type="dxa"/>
            <w:bottom w:w="0" w:type="dxa"/>
            <w:right w:w="108" w:type="dxa"/>
          </w:tblCellMar>
        </w:tblPrEx>
        <w:trPr>
          <w:trHeight w:val="773" w:hRule="atLeast"/>
          <w:tblHeader/>
          <w:jc w:val="center"/>
        </w:trPr>
        <w:tc>
          <w:tcPr>
            <w:tcW w:w="37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一级指标</w:t>
            </w:r>
          </w:p>
        </w:tc>
        <w:tc>
          <w:tcPr>
            <w:tcW w:w="59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分值</w:t>
            </w:r>
          </w:p>
        </w:tc>
        <w:tc>
          <w:tcPr>
            <w:tcW w:w="50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二级指标</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分值</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三级</w:t>
            </w:r>
          </w:p>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指标</w:t>
            </w:r>
          </w:p>
        </w:tc>
        <w:tc>
          <w:tcPr>
            <w:tcW w:w="574"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分值</w:t>
            </w:r>
          </w:p>
        </w:tc>
        <w:tc>
          <w:tcPr>
            <w:tcW w:w="285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评价标准</w:t>
            </w:r>
          </w:p>
        </w:tc>
        <w:tc>
          <w:tcPr>
            <w:tcW w:w="2864"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指标说明</w:t>
            </w:r>
          </w:p>
        </w:tc>
        <w:tc>
          <w:tcPr>
            <w:tcW w:w="46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b/>
                <w:color w:val="auto"/>
                <w:kern w:val="0"/>
                <w:sz w:val="20"/>
                <w:szCs w:val="20"/>
              </w:rPr>
            </w:pPr>
            <w:r>
              <w:rPr>
                <w:rFonts w:hint="eastAsia" w:ascii="宋体" w:hAnsi="宋体" w:eastAsia="宋体" w:cs="宋体"/>
                <w:b/>
                <w:color w:val="auto"/>
                <w:kern w:val="0"/>
                <w:sz w:val="20"/>
                <w:szCs w:val="20"/>
              </w:rPr>
              <w:t>得分</w:t>
            </w:r>
          </w:p>
        </w:tc>
      </w:tr>
      <w:tr>
        <w:tblPrEx>
          <w:tblCellMar>
            <w:top w:w="0" w:type="dxa"/>
            <w:left w:w="108" w:type="dxa"/>
            <w:bottom w:w="0" w:type="dxa"/>
            <w:right w:w="108" w:type="dxa"/>
          </w:tblCellMar>
        </w:tblPrEx>
        <w:trPr>
          <w:trHeight w:val="1934" w:hRule="atLeast"/>
          <w:jc w:val="center"/>
        </w:trPr>
        <w:tc>
          <w:tcPr>
            <w:tcW w:w="376"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投入</w:t>
            </w:r>
          </w:p>
        </w:tc>
        <w:tc>
          <w:tcPr>
            <w:tcW w:w="59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50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预算配置</w:t>
            </w:r>
          </w:p>
        </w:tc>
        <w:tc>
          <w:tcPr>
            <w:tcW w:w="62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13</w:t>
            </w: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在职人员控制率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2850"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以100%为标准。在职人员控制率≦100%，计5分；每超过一个百分点扣0.5分，扣完为止。</w:t>
            </w:r>
          </w:p>
        </w:tc>
        <w:tc>
          <w:tcPr>
            <w:tcW w:w="286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在职人员控制率=（在职人员数/编制数）×100%，在职人员数：部门（单位）实际在职人数，以财政局确定的部门决算编制口径为准。</w:t>
            </w:r>
            <w:r>
              <w:rPr>
                <w:rFonts w:hint="eastAsia" w:ascii="宋体" w:hAnsi="宋体" w:eastAsia="宋体" w:cs="宋体"/>
                <w:color w:val="auto"/>
                <w:kern w:val="0"/>
                <w:sz w:val="20"/>
                <w:szCs w:val="20"/>
              </w:rPr>
              <w:br w:type="textWrapping"/>
            </w:r>
            <w:r>
              <w:rPr>
                <w:rFonts w:hint="eastAsia" w:ascii="宋体" w:hAnsi="宋体" w:eastAsia="宋体" w:cs="宋体"/>
                <w:color w:val="auto"/>
                <w:spacing w:val="-6"/>
                <w:kern w:val="0"/>
                <w:sz w:val="20"/>
                <w:szCs w:val="20"/>
              </w:rPr>
              <w:t>编制数：机构编制部门核定批复的部门（单位）的人员编制数。</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0</w:t>
            </w: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1142" w:hRule="atLeast"/>
          <w:jc w:val="center"/>
        </w:trPr>
        <w:tc>
          <w:tcPr>
            <w:tcW w:w="376"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“三公经费”变动率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2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“三公经费”变动率≦</w:t>
            </w:r>
            <w:r>
              <w:rPr>
                <w:rFonts w:hint="eastAsia" w:ascii="宋体" w:hAnsi="宋体" w:eastAsia="宋体" w:cs="宋体"/>
                <w:color w:val="auto"/>
                <w:kern w:val="0"/>
                <w:sz w:val="20"/>
                <w:szCs w:val="20"/>
                <w:lang w:val="en-US" w:eastAsia="zh-CN"/>
              </w:rPr>
              <w:t>0</w:t>
            </w:r>
            <w:r>
              <w:rPr>
                <w:rFonts w:hint="eastAsia" w:ascii="宋体" w:hAnsi="宋体" w:eastAsia="宋体" w:cs="宋体"/>
                <w:color w:val="auto"/>
                <w:kern w:val="0"/>
                <w:sz w:val="20"/>
                <w:szCs w:val="20"/>
              </w:rPr>
              <w:t>,计8分；“三公经费”变动率＞0，每超过一个百分点扣0.5分</w:t>
            </w:r>
            <w:r>
              <w:rPr>
                <w:rFonts w:hint="eastAsia" w:ascii="宋体" w:hAnsi="宋体" w:eastAsia="宋体" w:cs="宋体"/>
                <w:color w:val="auto"/>
                <w:kern w:val="0"/>
                <w:sz w:val="20"/>
                <w:szCs w:val="20"/>
                <w:lang w:eastAsia="zh-CN"/>
              </w:rPr>
              <w:t>，</w:t>
            </w:r>
            <w:r>
              <w:rPr>
                <w:rFonts w:hint="eastAsia" w:ascii="宋体" w:hAnsi="宋体" w:eastAsia="宋体" w:cs="宋体"/>
                <w:color w:val="auto"/>
                <w:kern w:val="0"/>
                <w:sz w:val="20"/>
                <w:szCs w:val="20"/>
              </w:rPr>
              <w:t>扣完为止。</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“三公经费”变动率=[（本年度“三公经费”预算数-上年度“三公经费”预算数）/上年度“三公经费”预算数]×100%</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8</w:t>
            </w:r>
          </w:p>
        </w:tc>
      </w:tr>
      <w:tr>
        <w:tblPrEx>
          <w:tblCellMar>
            <w:top w:w="0" w:type="dxa"/>
            <w:left w:w="108" w:type="dxa"/>
            <w:bottom w:w="0" w:type="dxa"/>
            <w:right w:w="108" w:type="dxa"/>
          </w:tblCellMar>
        </w:tblPrEx>
        <w:trPr>
          <w:trHeight w:val="986" w:hRule="atLeast"/>
          <w:jc w:val="center"/>
        </w:trPr>
        <w:tc>
          <w:tcPr>
            <w:tcW w:w="376"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过                                                                                                                                       程</w:t>
            </w:r>
          </w:p>
        </w:tc>
        <w:tc>
          <w:tcPr>
            <w:tcW w:w="59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61</w:t>
            </w:r>
          </w:p>
        </w:tc>
        <w:tc>
          <w:tcPr>
            <w:tcW w:w="507"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预算执行</w:t>
            </w:r>
          </w:p>
        </w:tc>
        <w:tc>
          <w:tcPr>
            <w:tcW w:w="62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20</w:t>
            </w: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预算完成率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100%计满分，每低于5%扣2分，扣完为止。</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预算完成率=（上年结转+年初预算+本年追加预算-年末结余）/（上年结转+年初预算+本年追加预算）×100%。</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5</w:t>
            </w: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995" w:hRule="atLeast"/>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预算控制率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预算控制率=0，计5分；0-10%（含），计4分；10-20%（含），计3分；20-30%（含），计2分；大于30%不得分。</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预算控制率=（本年追加预算/年初预算）×100%。</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3</w:t>
            </w:r>
          </w:p>
        </w:tc>
      </w:tr>
      <w:tr>
        <w:tblPrEx>
          <w:tblCellMar>
            <w:top w:w="0" w:type="dxa"/>
            <w:left w:w="108" w:type="dxa"/>
            <w:bottom w:w="0" w:type="dxa"/>
            <w:right w:w="108" w:type="dxa"/>
          </w:tblCellMar>
        </w:tblPrEx>
        <w:trPr>
          <w:trHeight w:val="1059" w:hRule="atLeast"/>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kern w:val="0"/>
                <w:sz w:val="20"/>
                <w:szCs w:val="20"/>
              </w:rPr>
            </w:pPr>
            <w:r>
              <w:rPr>
                <w:rFonts w:hint="eastAsia" w:ascii="宋体" w:hAnsi="宋体" w:eastAsia="宋体" w:cs="宋体"/>
                <w:color w:val="auto"/>
                <w:sz w:val="20"/>
                <w:szCs w:val="20"/>
              </w:rPr>
              <w:t>结转结余变动率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sz w:val="20"/>
                <w:szCs w:val="20"/>
              </w:rPr>
              <w:t>结转结余</w:t>
            </w:r>
            <w:r>
              <w:rPr>
                <w:rFonts w:hint="eastAsia" w:ascii="宋体" w:hAnsi="宋体" w:eastAsia="宋体" w:cs="宋体"/>
                <w:color w:val="auto"/>
                <w:kern w:val="0"/>
                <w:sz w:val="20"/>
                <w:szCs w:val="20"/>
              </w:rPr>
              <w:t>变动率≦0,计5分；</w:t>
            </w:r>
            <w:r>
              <w:rPr>
                <w:rFonts w:hint="eastAsia" w:ascii="宋体" w:hAnsi="宋体" w:eastAsia="宋体" w:cs="宋体"/>
                <w:color w:val="auto"/>
                <w:sz w:val="20"/>
                <w:szCs w:val="20"/>
              </w:rPr>
              <w:t>结转结余</w:t>
            </w:r>
            <w:r>
              <w:rPr>
                <w:rFonts w:hint="eastAsia" w:ascii="宋体" w:hAnsi="宋体" w:eastAsia="宋体" w:cs="宋体"/>
                <w:color w:val="auto"/>
                <w:kern w:val="0"/>
                <w:sz w:val="20"/>
                <w:szCs w:val="20"/>
              </w:rPr>
              <w:t>变动率＞0，每超过一个百分点扣0.5分，扣完为止。</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sz w:val="20"/>
                <w:szCs w:val="20"/>
              </w:rPr>
              <w:t>结转结余变动率=[（本年度累计结转结余资金总额-上年度累计结转结余资金总额）/上年度累计结转结余资金总额]×100%。</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5</w:t>
            </w:r>
          </w:p>
        </w:tc>
      </w:tr>
      <w:tr>
        <w:tblPrEx>
          <w:tblCellMar>
            <w:top w:w="0" w:type="dxa"/>
            <w:left w:w="108" w:type="dxa"/>
            <w:bottom w:w="0" w:type="dxa"/>
            <w:right w:w="108" w:type="dxa"/>
          </w:tblCellMar>
        </w:tblPrEx>
        <w:trPr>
          <w:trHeight w:val="1159" w:hRule="atLeast"/>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新建楼堂馆所面积控制率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100%以下（含）计满分，每超出5%扣2分，扣完为止。没有楼堂馆所项目的部门按满分计算。</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spacing w:val="-6"/>
                <w:kern w:val="0"/>
                <w:sz w:val="20"/>
                <w:szCs w:val="20"/>
              </w:rPr>
              <w:t>楼堂馆所面积控制率=实际建设面积/批准建设面积×100% 。</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该指标以202</w:t>
            </w:r>
            <w:r>
              <w:rPr>
                <w:rFonts w:hint="eastAsia" w:ascii="宋体" w:hAnsi="宋体" w:eastAsia="宋体" w:cs="宋体"/>
                <w:color w:val="auto"/>
                <w:kern w:val="0"/>
                <w:sz w:val="20"/>
                <w:szCs w:val="20"/>
                <w:lang w:val="en-US" w:eastAsia="zh-CN"/>
              </w:rPr>
              <w:t>2</w:t>
            </w:r>
            <w:r>
              <w:rPr>
                <w:rFonts w:hint="eastAsia" w:ascii="宋体" w:hAnsi="宋体" w:eastAsia="宋体" w:cs="宋体"/>
                <w:color w:val="auto"/>
                <w:kern w:val="0"/>
                <w:sz w:val="20"/>
                <w:szCs w:val="20"/>
              </w:rPr>
              <w:t>年完工的新建楼堂馆所为评价内容。</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5</w:t>
            </w:r>
          </w:p>
        </w:tc>
      </w:tr>
      <w:tr>
        <w:tblPrEx>
          <w:tblCellMar>
            <w:top w:w="0" w:type="dxa"/>
            <w:left w:w="108" w:type="dxa"/>
            <w:bottom w:w="0" w:type="dxa"/>
            <w:right w:w="108" w:type="dxa"/>
          </w:tblCellMar>
        </w:tblPrEx>
        <w:trPr>
          <w:trHeight w:val="414" w:hRule="atLeast"/>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预算管理</w:t>
            </w:r>
          </w:p>
        </w:tc>
        <w:tc>
          <w:tcPr>
            <w:tcW w:w="62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41</w:t>
            </w: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41</w:t>
            </w:r>
          </w:p>
          <w:p>
            <w:pPr>
              <w:widowControl/>
              <w:spacing w:line="260" w:lineRule="exact"/>
              <w:jc w:val="center"/>
              <w:rPr>
                <w:rFonts w:hint="eastAsia" w:ascii="宋体" w:hAnsi="宋体" w:eastAsia="宋体" w:cs="宋体"/>
                <w:color w:val="auto"/>
                <w:kern w:val="0"/>
                <w:sz w:val="20"/>
                <w:szCs w:val="20"/>
              </w:rPr>
            </w:pPr>
          </w:p>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公用经费控制率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100%以下（含）计满分，每超出1%扣1分，扣完为止。</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公用经费控制率=（实际支出公用经费总额/预算安排公用经费总额）×100%。</w:t>
            </w:r>
            <w:r>
              <w:rPr>
                <w:rFonts w:hint="eastAsia" w:ascii="宋体" w:hAnsi="宋体" w:eastAsia="宋体" w:cs="宋体"/>
                <w:color w:val="auto"/>
                <w:kern w:val="0"/>
                <w:sz w:val="20"/>
                <w:szCs w:val="20"/>
              </w:rPr>
              <w:br w:type="textWrapping"/>
            </w:r>
            <w:r>
              <w:rPr>
                <w:rFonts w:hint="eastAsia" w:ascii="宋体" w:hAnsi="宋体" w:eastAsia="宋体" w:cs="宋体"/>
                <w:color w:val="auto"/>
                <w:spacing w:val="-6"/>
                <w:kern w:val="0"/>
                <w:sz w:val="20"/>
                <w:szCs w:val="20"/>
              </w:rPr>
              <w:t>公用经费支出是指部门基本支出中的一般商品和服务支出。</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8</w:t>
            </w: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930" w:hRule="atLeast"/>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“三公经费”控制率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100%以下（含）计满分，每超出1%扣1分，扣完为止。</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“三公经费”控制率-（“三公经费”实际支出数/“三公经费”预算安排数）×100%。</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8</w:t>
            </w:r>
          </w:p>
        </w:tc>
      </w:tr>
      <w:tr>
        <w:tblPrEx>
          <w:tblCellMar>
            <w:top w:w="0" w:type="dxa"/>
            <w:left w:w="108" w:type="dxa"/>
            <w:bottom w:w="0" w:type="dxa"/>
            <w:right w:w="108" w:type="dxa"/>
          </w:tblCellMar>
        </w:tblPrEx>
        <w:trPr>
          <w:trHeight w:val="753" w:hRule="atLeast"/>
          <w:jc w:val="center"/>
        </w:trPr>
        <w:tc>
          <w:tcPr>
            <w:tcW w:w="376"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政府采购执行率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100%计满分，每超过（降低）5%扣2分。扣完为止。</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spacing w:val="-6"/>
                <w:kern w:val="0"/>
                <w:sz w:val="20"/>
                <w:szCs w:val="20"/>
              </w:rPr>
              <w:t>政府采购执行率=（实际政府采购金额/政府采购预算数）×100%</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6</w:t>
            </w:r>
          </w:p>
        </w:tc>
      </w:tr>
      <w:tr>
        <w:tblPrEx>
          <w:tblCellMar>
            <w:top w:w="0" w:type="dxa"/>
            <w:left w:w="108" w:type="dxa"/>
            <w:bottom w:w="0" w:type="dxa"/>
            <w:right w:w="108" w:type="dxa"/>
          </w:tblCellMar>
        </w:tblPrEx>
        <w:trPr>
          <w:jc w:val="center"/>
        </w:trPr>
        <w:tc>
          <w:tcPr>
            <w:tcW w:w="376"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过                                                                                                                                       程</w:t>
            </w:r>
          </w:p>
        </w:tc>
        <w:tc>
          <w:tcPr>
            <w:tcW w:w="59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61</w:t>
            </w:r>
          </w:p>
        </w:tc>
        <w:tc>
          <w:tcPr>
            <w:tcW w:w="507" w:type="dxa"/>
            <w:vMerge w:val="restart"/>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预算管理</w:t>
            </w: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管理制度健全性</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①有内部财务管理制度、会计核算制度等管理制度，2分；②有本部门厉行节约制度,2分；③相关管理制度合法、合规、完整，2分；④相关管理制度得到有效执行，2分。</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8</w:t>
            </w: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资金使用合规性</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以上情况每出现一例不符合要求的扣1分，扣完为止。</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6</w:t>
            </w:r>
          </w:p>
        </w:tc>
      </w:tr>
      <w:tr>
        <w:tblPrEx>
          <w:tblCellMar>
            <w:top w:w="0" w:type="dxa"/>
            <w:left w:w="108" w:type="dxa"/>
            <w:bottom w:w="0" w:type="dxa"/>
            <w:right w:w="108" w:type="dxa"/>
          </w:tblCellMar>
        </w:tblPrEx>
        <w:trPr>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预决算和“三公经费”信息公开性</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预决算信息是指与部门预算、执行、决算、监督、绩效等管理相关的信息。</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5</w:t>
            </w: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jc w:val="center"/>
        </w:trPr>
        <w:tc>
          <w:tcPr>
            <w:tcW w:w="376"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产出及效率</w:t>
            </w:r>
          </w:p>
        </w:tc>
        <w:tc>
          <w:tcPr>
            <w:tcW w:w="59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26</w:t>
            </w:r>
          </w:p>
        </w:tc>
        <w:tc>
          <w:tcPr>
            <w:tcW w:w="507"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职责履行</w:t>
            </w:r>
          </w:p>
        </w:tc>
        <w:tc>
          <w:tcPr>
            <w:tcW w:w="620"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重点工作实际完成率</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8</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根据县综合考评办20</w:t>
            </w:r>
            <w:r>
              <w:rPr>
                <w:rFonts w:hint="eastAsia" w:ascii="宋体" w:hAnsi="宋体" w:eastAsia="宋体" w:cs="宋体"/>
                <w:color w:val="auto"/>
                <w:kern w:val="0"/>
                <w:sz w:val="20"/>
                <w:szCs w:val="20"/>
                <w:lang w:val="en-US" w:eastAsia="zh-CN"/>
              </w:rPr>
              <w:t>22</w:t>
            </w:r>
            <w:r>
              <w:rPr>
                <w:rFonts w:hint="eastAsia" w:ascii="宋体" w:hAnsi="宋体" w:eastAsia="宋体" w:cs="宋体"/>
                <w:color w:val="auto"/>
                <w:kern w:val="0"/>
                <w:sz w:val="20"/>
                <w:szCs w:val="20"/>
              </w:rPr>
              <w:t>年对各部门重点</w:t>
            </w:r>
            <w:r>
              <w:rPr>
                <w:rFonts w:hint="eastAsia" w:ascii="宋体" w:hAnsi="宋体" w:eastAsia="宋体" w:cs="宋体"/>
                <w:color w:val="auto"/>
                <w:kern w:val="0"/>
                <w:sz w:val="20"/>
                <w:szCs w:val="20"/>
                <w:lang w:val="en-US" w:eastAsia="zh-CN"/>
              </w:rPr>
              <w:t>项目</w:t>
            </w:r>
            <w:r>
              <w:rPr>
                <w:rFonts w:hint="eastAsia" w:ascii="宋体" w:hAnsi="宋体" w:eastAsia="宋体" w:cs="宋体"/>
                <w:color w:val="auto"/>
                <w:kern w:val="0"/>
                <w:sz w:val="20"/>
                <w:szCs w:val="20"/>
              </w:rPr>
              <w:t>与重点工作考核分数折算。</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该项得分=（县综合考评办对应部分考核得分/100）*8</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8</w:t>
            </w: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trHeight w:val="357" w:hRule="atLeast"/>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履职 效益</w:t>
            </w:r>
          </w:p>
        </w:tc>
        <w:tc>
          <w:tcPr>
            <w:tcW w:w="62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91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经济</w:t>
            </w:r>
          </w:p>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效益</w:t>
            </w:r>
          </w:p>
        </w:tc>
        <w:tc>
          <w:tcPr>
            <w:tcW w:w="574"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5714" w:type="dxa"/>
            <w:gridSpan w:val="2"/>
            <w:vMerge w:val="restart"/>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此两项指标为设置部门整体支出绩效评价指标时必须考虑的共性要素，可根据部门实际情况有选择的进行设置，并将其细化为相应的个性化指标。</w:t>
            </w:r>
          </w:p>
        </w:tc>
        <w:tc>
          <w:tcPr>
            <w:tcW w:w="467" w:type="dxa"/>
            <w:vMerge w:val="restart"/>
            <w:tcBorders>
              <w:top w:val="nil"/>
              <w:left w:val="nil"/>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6</w:t>
            </w:r>
          </w:p>
          <w:p>
            <w:pPr>
              <w:widowControl/>
              <w:spacing w:line="2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社会</w:t>
            </w:r>
          </w:p>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效益</w:t>
            </w:r>
          </w:p>
        </w:tc>
        <w:tc>
          <w:tcPr>
            <w:tcW w:w="574"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714" w:type="dxa"/>
            <w:gridSpan w:val="2"/>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p>
        </w:tc>
        <w:tc>
          <w:tcPr>
            <w:tcW w:w="467" w:type="dxa"/>
            <w:vMerge w:val="continue"/>
            <w:tcBorders>
              <w:left w:val="nil"/>
              <w:bottom w:val="nil"/>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p>
        </w:tc>
      </w:tr>
      <w:tr>
        <w:tblPrEx>
          <w:tblCellMar>
            <w:top w:w="0" w:type="dxa"/>
            <w:left w:w="108" w:type="dxa"/>
            <w:bottom w:w="0" w:type="dxa"/>
            <w:right w:w="108" w:type="dxa"/>
          </w:tblCellMar>
        </w:tblPrEx>
        <w:trPr>
          <w:jc w:val="center"/>
        </w:trPr>
        <w:tc>
          <w:tcPr>
            <w:tcW w:w="37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12</w:t>
            </w: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w:t>
            </w:r>
          </w:p>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效能</w:t>
            </w:r>
          </w:p>
        </w:tc>
        <w:tc>
          <w:tcPr>
            <w:tcW w:w="574"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28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促进部门改进文风会风，加强经费及资产管理，推动网上办事，提高行政效率，降低行政成本效果较好的计6分；一般3分；无效果或者效果不明显0分。</w:t>
            </w:r>
          </w:p>
        </w:tc>
        <w:tc>
          <w:tcPr>
            <w:tcW w:w="28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根据部门自评材料评定。</w:t>
            </w:r>
          </w:p>
        </w:tc>
        <w:tc>
          <w:tcPr>
            <w:tcW w:w="467"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r>
              <w:rPr>
                <w:rFonts w:hint="eastAsia" w:ascii="宋体" w:hAnsi="宋体" w:eastAsia="宋体" w:cs="宋体"/>
                <w:color w:val="auto"/>
                <w:kern w:val="0"/>
                <w:sz w:val="20"/>
                <w:szCs w:val="20"/>
                <w:lang w:val="en-US" w:eastAsia="zh-CN"/>
              </w:rPr>
              <w:t>6</w:t>
            </w:r>
            <w:r>
              <w:rPr>
                <w:rFonts w:hint="eastAsia" w:ascii="宋体" w:hAnsi="宋体" w:eastAsia="宋体" w:cs="宋体"/>
                <w:color w:val="auto"/>
                <w:kern w:val="0"/>
                <w:sz w:val="20"/>
                <w:szCs w:val="20"/>
              </w:rPr>
              <w:t>　</w:t>
            </w:r>
          </w:p>
        </w:tc>
      </w:tr>
      <w:tr>
        <w:tblPrEx>
          <w:tblCellMar>
            <w:top w:w="0" w:type="dxa"/>
            <w:left w:w="108" w:type="dxa"/>
            <w:bottom w:w="0" w:type="dxa"/>
            <w:right w:w="108" w:type="dxa"/>
          </w:tblCellMar>
        </w:tblPrEx>
        <w:trPr>
          <w:jc w:val="center"/>
        </w:trPr>
        <w:tc>
          <w:tcPr>
            <w:tcW w:w="376"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9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07"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62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916"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社会公众或服务对象满意度</w:t>
            </w:r>
          </w:p>
        </w:tc>
        <w:tc>
          <w:tcPr>
            <w:tcW w:w="574"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90%（含）以上计6分；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80%（含）-90%，计4分；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70%（含）-80%，计2分；</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低于70%计0分。</w:t>
            </w:r>
          </w:p>
        </w:tc>
        <w:tc>
          <w:tcPr>
            <w:tcW w:w="286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社会公众或服务对象是指部门（单位）履行职责而影响到的部门、群体或个人，一般采取社会调查的方式。</w:t>
            </w:r>
          </w:p>
        </w:tc>
        <w:tc>
          <w:tcPr>
            <w:tcW w:w="46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rPr>
              <w:t>　</w:t>
            </w:r>
            <w:r>
              <w:rPr>
                <w:rFonts w:hint="eastAsia" w:ascii="宋体" w:hAnsi="宋体" w:eastAsia="宋体" w:cs="宋体"/>
                <w:color w:val="auto"/>
                <w:kern w:val="0"/>
                <w:sz w:val="20"/>
                <w:szCs w:val="20"/>
                <w:lang w:val="en-US" w:eastAsia="zh-CN"/>
              </w:rPr>
              <w:t>5</w:t>
            </w:r>
          </w:p>
        </w:tc>
      </w:tr>
      <w:tr>
        <w:tblPrEx>
          <w:tblCellMar>
            <w:top w:w="0" w:type="dxa"/>
            <w:left w:w="108" w:type="dxa"/>
            <w:bottom w:w="0" w:type="dxa"/>
            <w:right w:w="108" w:type="dxa"/>
          </w:tblCellMar>
        </w:tblPrEx>
        <w:trPr>
          <w:trHeight w:val="522" w:hRule="atLeast"/>
          <w:jc w:val="center"/>
        </w:trPr>
        <w:tc>
          <w:tcPr>
            <w:tcW w:w="147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b/>
                <w:bCs/>
                <w:color w:val="auto"/>
                <w:kern w:val="0"/>
                <w:sz w:val="20"/>
                <w:szCs w:val="20"/>
              </w:rPr>
              <w:t>合   计</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w:t>
            </w:r>
          </w:p>
        </w:tc>
        <w:tc>
          <w:tcPr>
            <w:tcW w:w="91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p>
        </w:tc>
        <w:tc>
          <w:tcPr>
            <w:tcW w:w="57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100</w:t>
            </w:r>
          </w:p>
        </w:tc>
        <w:tc>
          <w:tcPr>
            <w:tcW w:w="28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p>
        </w:tc>
        <w:tc>
          <w:tcPr>
            <w:tcW w:w="286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92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3NGY4ZDQzYzk3YmQ4NGVkZmZmYTk4YTE4NzY5ODAifQ=="/>
  </w:docVars>
  <w:rsids>
    <w:rsidRoot w:val="6B0D10F3"/>
    <w:rsid w:val="01204AB9"/>
    <w:rsid w:val="088455A4"/>
    <w:rsid w:val="17CA26E9"/>
    <w:rsid w:val="1B7B20F9"/>
    <w:rsid w:val="1EF33837"/>
    <w:rsid w:val="39C205A4"/>
    <w:rsid w:val="48A136C6"/>
    <w:rsid w:val="6A665773"/>
    <w:rsid w:val="6B0D10F3"/>
    <w:rsid w:val="6B2A5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220" w:beforeLines="0" w:beforeAutospacing="0" w:after="210" w:afterLines="0" w:afterAutospacing="0" w:line="600" w:lineRule="exact"/>
      <w:ind w:leftChars="200"/>
      <w:outlineLvl w:val="0"/>
    </w:pPr>
    <w:rPr>
      <w:rFonts w:ascii="Calibri" w:hAnsi="Calibri" w:eastAsia="黑体" w:cs="Times New Roman"/>
      <w:b/>
      <w:kern w:val="44"/>
      <w:sz w:val="32"/>
    </w:rPr>
  </w:style>
  <w:style w:type="paragraph" w:styleId="3">
    <w:name w:val="heading 2"/>
    <w:basedOn w:val="1"/>
    <w:next w:val="1"/>
    <w:link w:val="8"/>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szCs w:val="22"/>
    </w:rPr>
  </w:style>
  <w:style w:type="paragraph" w:styleId="4">
    <w:name w:val="heading 3"/>
    <w:basedOn w:val="1"/>
    <w:next w:val="1"/>
    <w:link w:val="7"/>
    <w:semiHidden/>
    <w:unhideWhenUsed/>
    <w:qFormat/>
    <w:uiPriority w:val="0"/>
    <w:pPr>
      <w:keepNext/>
      <w:keepLines/>
      <w:spacing w:before="260" w:beforeLines="0" w:beforeAutospacing="0" w:after="260" w:afterLines="0" w:afterAutospacing="0" w:line="413" w:lineRule="auto"/>
      <w:outlineLvl w:val="2"/>
    </w:pPr>
    <w:rPr>
      <w:rFonts w:eastAsia="仿宋" w:asciiTheme="minorAscii" w:hAnsiTheme="minorAscii"/>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customStyle="1" w:styleId="7">
    <w:name w:val="标题 3 Char"/>
    <w:link w:val="4"/>
    <w:qFormat/>
    <w:uiPriority w:val="0"/>
    <w:rPr>
      <w:rFonts w:eastAsia="仿宋" w:asciiTheme="minorAscii" w:hAnsiTheme="minorAscii"/>
      <w:b/>
      <w:sz w:val="32"/>
    </w:rPr>
  </w:style>
  <w:style w:type="character" w:customStyle="1" w:styleId="8">
    <w:name w:val="标题 2 Char"/>
    <w:link w:val="3"/>
    <w:qFormat/>
    <w:uiPriority w:val="0"/>
    <w:rPr>
      <w:rFonts w:ascii="Arial" w:hAnsi="Arial" w:eastAsia="楷体_GB2312"/>
      <w:b/>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2023-11-06T07:49:00Z</dcterms:created>
  <dc:creator>南雉</dc:creator>
  <cp:lastModifiedBy>南雉</cp:lastModifiedBy>
  <dcterms:modified xsi:type="dcterms:W3CDTF">2023-11-06T07:50:04Z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F8E5BD3D63444FE5A4FCDA642DF30703_11</vt:lpwstr>
  </property>
</Properties>
</file>