
<file path=[Content_Types].xml><?xml version="1.0" encoding="utf-8"?>
<Types xmlns="http://schemas.openxmlformats.org/package/2006/content-types">
  <Default Extension="xml" ContentType="application/xml"/>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bookmarkStart w:id="0" w:name="_Hlk57883707"/>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bookmarkEnd w:id="0"/>
    <w:p>
      <w:pPr>
        <w:adjustRightInd w:val="0"/>
        <w:snapToGrid w:val="0"/>
        <w:jc w:val="center"/>
        <w:outlineLvl w:val="0"/>
        <w:rPr>
          <w:rFonts w:ascii="方正小标宋_GBK" w:hAnsi="Times New Roman" w:eastAsia="方正小标宋_GBK" w:cs="Times New Roman"/>
          <w:bCs/>
          <w:sz w:val="72"/>
          <w:szCs w:val="72"/>
        </w:rPr>
      </w:pPr>
      <w:bookmarkStart w:id="1" w:name="_Toc96962416"/>
      <w:bookmarkStart w:id="2" w:name="_Toc104352115"/>
      <w:bookmarkStart w:id="3" w:name="_Toc16634"/>
      <w:bookmarkStart w:id="4" w:name="_Toc135115370"/>
      <w:bookmarkStart w:id="5" w:name="_Toc89059398"/>
      <w:bookmarkStart w:id="6" w:name="_Toc95293579"/>
      <w:bookmarkStart w:id="7" w:name="_Toc13937"/>
      <w:bookmarkStart w:id="8" w:name="_Toc133553708"/>
      <w:bookmarkStart w:id="9" w:name="_Toc147996962"/>
      <w:bookmarkStart w:id="10" w:name="_Toc123889539"/>
      <w:bookmarkStart w:id="11" w:name="_Toc121378770"/>
      <w:bookmarkStart w:id="12" w:name="_Toc138957531"/>
      <w:r>
        <w:rPr>
          <w:rFonts w:hint="eastAsia" w:ascii="方正小标宋_GBK" w:hAnsi="Times New Roman" w:eastAsia="方正小标宋_GBK" w:cs="Times New Roman"/>
          <w:bCs/>
          <w:sz w:val="72"/>
          <w:szCs w:val="72"/>
        </w:rPr>
        <w:t>建设项目环境影响报告表</w:t>
      </w:r>
      <w:bookmarkEnd w:id="1"/>
      <w:bookmarkEnd w:id="2"/>
      <w:bookmarkEnd w:id="3"/>
      <w:bookmarkEnd w:id="4"/>
      <w:bookmarkEnd w:id="5"/>
      <w:bookmarkEnd w:id="6"/>
      <w:bookmarkEnd w:id="7"/>
      <w:bookmarkEnd w:id="8"/>
      <w:bookmarkEnd w:id="9"/>
      <w:bookmarkEnd w:id="10"/>
      <w:bookmarkEnd w:id="11"/>
      <w:bookmarkEnd w:id="12"/>
    </w:p>
    <w:p>
      <w:pPr>
        <w:adjustRightInd w:val="0"/>
        <w:snapToGrid w:val="0"/>
        <w:spacing w:before="251" w:beforeLines="80"/>
        <w:jc w:val="center"/>
        <w:rPr>
          <w:rFonts w:ascii="楷体_GB2312" w:hAnsi="Times New Roman" w:eastAsia="楷体_GB2312" w:cs="Times New Roman"/>
          <w:bCs/>
          <w:sz w:val="48"/>
          <w:szCs w:val="48"/>
        </w:rPr>
      </w:pPr>
      <w:r>
        <w:rPr>
          <w:rFonts w:hint="eastAsia" w:ascii="楷体_GB2312" w:hAnsi="Times New Roman" w:eastAsia="楷体_GB2312" w:cs="Times New Roman"/>
          <w:bCs/>
          <w:sz w:val="48"/>
          <w:szCs w:val="48"/>
        </w:rPr>
        <w:t>（污染影响类）</w:t>
      </w:r>
      <w:bookmarkStart w:id="13" w:name="_Hlk57883728"/>
    </w:p>
    <w:bookmarkEnd w:id="13"/>
    <w:p>
      <w:pPr>
        <w:adjustRightInd w:val="0"/>
        <w:snapToGrid w:val="0"/>
        <w:spacing w:line="288" w:lineRule="auto"/>
        <w:rPr>
          <w:rFonts w:ascii="仿宋_GB2312" w:hAnsi="Times New Roman" w:eastAsia="仿宋_GB2312" w:cs="Times New Roman"/>
          <w:sz w:val="36"/>
          <w:szCs w:val="36"/>
        </w:rPr>
      </w:pPr>
    </w:p>
    <w:p>
      <w:pPr>
        <w:adjustRightInd w:val="0"/>
        <w:snapToGrid w:val="0"/>
        <w:spacing w:line="288" w:lineRule="auto"/>
        <w:rPr>
          <w:rFonts w:ascii="仿宋_GB2312" w:hAnsi="Times New Roman" w:eastAsia="仿宋_GB2312" w:cs="Times New Roman"/>
          <w:sz w:val="36"/>
          <w:szCs w:val="36"/>
        </w:rPr>
      </w:pPr>
    </w:p>
    <w:p>
      <w:pPr>
        <w:adjustRightInd w:val="0"/>
        <w:snapToGrid w:val="0"/>
        <w:spacing w:line="288" w:lineRule="auto"/>
        <w:rPr>
          <w:rFonts w:ascii="仿宋_GB2312" w:hAnsi="Times New Roman" w:eastAsia="仿宋_GB2312" w:cs="Times New Roman"/>
          <w:sz w:val="36"/>
          <w:szCs w:val="36"/>
        </w:rPr>
      </w:pPr>
    </w:p>
    <w:p>
      <w:pPr>
        <w:adjustRightInd w:val="0"/>
        <w:snapToGrid w:val="0"/>
        <w:spacing w:line="288" w:lineRule="auto"/>
        <w:rPr>
          <w:rFonts w:ascii="仿宋_GB2312" w:hAnsi="Times New Roman" w:eastAsia="仿宋_GB2312" w:cs="Times New Roman"/>
          <w:sz w:val="36"/>
          <w:szCs w:val="36"/>
        </w:rPr>
      </w:pPr>
    </w:p>
    <w:p>
      <w:pPr>
        <w:adjustRightInd w:val="0"/>
        <w:snapToGrid w:val="0"/>
        <w:spacing w:line="288" w:lineRule="auto"/>
        <w:rPr>
          <w:rFonts w:ascii="仿宋_GB2312" w:hAnsi="Times New Roman" w:eastAsia="仿宋_GB2312" w:cs="Times New Roman"/>
          <w:sz w:val="36"/>
          <w:szCs w:val="36"/>
        </w:rPr>
      </w:pPr>
    </w:p>
    <w:p>
      <w:pPr>
        <w:adjustRightInd w:val="0"/>
        <w:snapToGrid w:val="0"/>
        <w:spacing w:line="288" w:lineRule="auto"/>
        <w:rPr>
          <w:rFonts w:ascii="仿宋_GB2312" w:hAnsi="Times New Roman" w:eastAsia="仿宋_GB2312" w:cs="Times New Roman"/>
          <w:sz w:val="36"/>
          <w:szCs w:val="36"/>
        </w:rPr>
      </w:pPr>
    </w:p>
    <w:p>
      <w:pPr>
        <w:adjustRightInd w:val="0"/>
        <w:snapToGrid w:val="0"/>
        <w:spacing w:line="288" w:lineRule="auto"/>
        <w:ind w:left="1800" w:hanging="1800" w:hangingChars="500"/>
        <w:rPr>
          <w:rFonts w:ascii="仿宋_GB2312" w:hAnsi="Times New Roman" w:eastAsia="仿宋_GB2312" w:cs="Times New Roman"/>
          <w:sz w:val="36"/>
          <w:szCs w:val="36"/>
          <w:u w:val="single"/>
        </w:rPr>
      </w:pPr>
      <w:r>
        <w:rPr>
          <w:rFonts w:hint="eastAsia" w:ascii="仿宋_GB2312" w:hAnsi="Times New Roman" w:eastAsia="仿宋_GB2312" w:cs="Times New Roman"/>
          <w:sz w:val="36"/>
          <w:szCs w:val="36"/>
        </w:rPr>
        <w:t>项目名称：</w:t>
      </w:r>
      <w:r>
        <w:rPr>
          <w:rFonts w:hint="eastAsia" w:ascii="Times New Roman" w:hAnsi="宋体" w:eastAsia="宋体" w:cs="Times New Roman"/>
          <w:b/>
          <w:sz w:val="32"/>
          <w:szCs w:val="32"/>
          <w:u w:val="single"/>
        </w:rPr>
        <w:t>郴州茂鑫贸易有限公司煤坪堆场建设项目</w:t>
      </w:r>
    </w:p>
    <w:p>
      <w:pPr>
        <w:adjustRightInd w:val="0"/>
        <w:snapToGrid w:val="0"/>
        <w:spacing w:line="288" w:lineRule="auto"/>
        <w:rPr>
          <w:rFonts w:ascii="Times New Roman" w:hAnsi="宋体" w:eastAsia="宋体" w:cs="Times New Roman"/>
          <w:b/>
          <w:sz w:val="32"/>
          <w:szCs w:val="32"/>
          <w:u w:val="single"/>
        </w:rPr>
      </w:pPr>
      <w:r>
        <w:rPr>
          <w:rFonts w:hint="eastAsia" w:ascii="仿宋_GB2312" w:hAnsi="Times New Roman" w:eastAsia="仿宋_GB2312" w:cs="Times New Roman"/>
          <w:sz w:val="36"/>
          <w:szCs w:val="36"/>
        </w:rPr>
        <w:t>建设单位（盖章）：</w:t>
      </w:r>
      <w:r>
        <w:rPr>
          <w:rFonts w:hint="eastAsia" w:ascii="Times New Roman" w:hAnsi="宋体" w:eastAsia="宋体" w:cs="Times New Roman"/>
          <w:b/>
          <w:sz w:val="32"/>
          <w:szCs w:val="32"/>
          <w:u w:val="single"/>
        </w:rPr>
        <w:t>郴州茂鑫贸易有限公司</w:t>
      </w:r>
    </w:p>
    <w:p>
      <w:pPr>
        <w:adjustRightInd w:val="0"/>
        <w:snapToGrid w:val="0"/>
        <w:spacing w:line="288" w:lineRule="auto"/>
        <w:rPr>
          <w:rFonts w:ascii="仿宋_GB2312" w:hAnsi="Times New Roman" w:eastAsia="仿宋_GB2312" w:cs="Times New Roman"/>
          <w:sz w:val="36"/>
          <w:szCs w:val="36"/>
          <w:u w:val="single"/>
        </w:rPr>
      </w:pPr>
      <w:r>
        <w:rPr>
          <w:rFonts w:hint="eastAsia" w:ascii="仿宋_GB2312" w:hAnsi="Times New Roman" w:eastAsia="仿宋_GB2312" w:cs="Times New Roman"/>
          <w:sz w:val="36"/>
          <w:szCs w:val="36"/>
        </w:rPr>
        <w:t xml:space="preserve">编制日期：  </w:t>
      </w:r>
      <w:r>
        <w:rPr>
          <w:rFonts w:ascii="Times New Roman" w:hAnsi="Times New Roman" w:eastAsia="宋体" w:cs="Times New Roman"/>
          <w:sz w:val="36"/>
          <w:szCs w:val="36"/>
          <w:u w:val="single"/>
        </w:rPr>
        <w:t>2023年9月</w:t>
      </w:r>
      <w:r>
        <w:rPr>
          <w:rFonts w:ascii="仿宋_GB2312" w:hAnsi="Times New Roman" w:eastAsia="仿宋_GB2312" w:cs="Times New Roman"/>
          <w:sz w:val="36"/>
          <w:szCs w:val="36"/>
        </w:rPr>
        <w:t xml:space="preserve"> </w:t>
      </w:r>
      <w:r>
        <w:rPr>
          <w:rFonts w:hint="eastAsia" w:ascii="仿宋_GB2312" w:hAnsi="Times New Roman" w:eastAsia="仿宋_GB2312" w:cs="Times New Roman"/>
          <w:sz w:val="36"/>
          <w:szCs w:val="36"/>
        </w:rPr>
        <w:t xml:space="preserve"> </w:t>
      </w:r>
    </w:p>
    <w:p>
      <w:pPr>
        <w:adjustRightInd w:val="0"/>
        <w:snapToGrid w:val="0"/>
        <w:spacing w:line="288" w:lineRule="auto"/>
        <w:ind w:firstLine="1040"/>
        <w:rPr>
          <w:rFonts w:ascii="仿宋_GB2312" w:hAnsi="Times New Roman" w:eastAsia="仿宋_GB2312" w:cs="Times New Roman"/>
          <w:sz w:val="36"/>
          <w:szCs w:val="36"/>
          <w:u w:val="single"/>
        </w:rPr>
      </w:pPr>
    </w:p>
    <w:p>
      <w:pPr>
        <w:adjustRightInd w:val="0"/>
        <w:snapToGrid w:val="0"/>
        <w:spacing w:line="288" w:lineRule="auto"/>
        <w:ind w:firstLine="1040"/>
        <w:rPr>
          <w:rFonts w:ascii="仿宋_GB2312" w:hAnsi="Times New Roman" w:eastAsia="仿宋_GB2312" w:cs="Times New Roman"/>
          <w:sz w:val="36"/>
          <w:szCs w:val="36"/>
        </w:rPr>
      </w:pPr>
    </w:p>
    <w:p>
      <w:pPr>
        <w:adjustRightInd w:val="0"/>
        <w:snapToGrid w:val="0"/>
        <w:spacing w:line="288" w:lineRule="auto"/>
        <w:jc w:val="center"/>
        <w:rPr>
          <w:rFonts w:ascii="楷体_GB2312" w:hAnsi="Times New Roman" w:eastAsia="楷体_GB2312" w:cs="Times New Roman"/>
          <w:sz w:val="36"/>
          <w:szCs w:val="36"/>
        </w:rPr>
        <w:sectPr>
          <w:pgSz w:w="11906" w:h="16838"/>
          <w:pgMar w:top="1440" w:right="1440" w:bottom="1440" w:left="1440" w:header="851" w:footer="851" w:gutter="0"/>
          <w:cols w:space="425" w:num="1"/>
          <w:docGrid w:type="lines" w:linePitch="314" w:charSpace="0"/>
        </w:sectPr>
      </w:pPr>
      <w:r>
        <w:rPr>
          <w:rFonts w:hint="eastAsia" w:ascii="楷体_GB2312" w:hAnsi="Times New Roman" w:eastAsia="楷体_GB2312" w:cs="Times New Roman"/>
          <w:sz w:val="36"/>
          <w:szCs w:val="36"/>
        </w:rPr>
        <w:t>中华人民共和国生态环境部制</w:t>
      </w:r>
    </w:p>
    <w:p>
      <w:pPr>
        <w:jc w:val="center"/>
        <w:rPr>
          <w:rFonts w:ascii="宋体" w:hAnsi="宋体" w:eastAsia="宋体"/>
          <w:sz w:val="48"/>
          <w:szCs w:val="48"/>
        </w:rPr>
      </w:pPr>
      <w:r>
        <w:rPr>
          <w:rFonts w:hint="eastAsia" w:ascii="宋体" w:hAnsi="宋体" w:eastAsia="宋体"/>
          <w:sz w:val="48"/>
          <w:szCs w:val="48"/>
        </w:rPr>
        <w:t>目录</w:t>
      </w:r>
    </w:p>
    <w:p>
      <w:pPr>
        <w:jc w:val="center"/>
        <w:rPr>
          <w:rFonts w:ascii="宋体" w:hAnsi="宋体" w:eastAsia="宋体"/>
        </w:rPr>
      </w:pPr>
      <w:r>
        <w:rPr>
          <w:rFonts w:ascii="宋体" w:hAnsi="宋体" w:eastAsia="宋体"/>
        </w:rPr>
        <w:fldChar w:fldCharType="begin"/>
      </w:r>
      <w:r>
        <w:rPr>
          <w:rFonts w:ascii="宋体" w:hAnsi="宋体" w:eastAsia="宋体"/>
        </w:rPr>
        <w:instrText xml:space="preserve"> </w:instrText>
      </w:r>
      <w:r>
        <w:rPr>
          <w:rFonts w:hint="eastAsia" w:ascii="宋体" w:hAnsi="宋体" w:eastAsia="宋体"/>
        </w:rPr>
        <w:instrText xml:space="preserve">TOC \o "1-1" \h \z \u</w:instrText>
      </w:r>
      <w:r>
        <w:rPr>
          <w:rFonts w:ascii="宋体" w:hAnsi="宋体" w:eastAsia="宋体"/>
        </w:rPr>
        <w:instrText xml:space="preserve"> </w:instrText>
      </w:r>
      <w:r>
        <w:rPr>
          <w:rFonts w:ascii="宋体" w:hAnsi="宋体" w:eastAsia="宋体"/>
        </w:rPr>
        <w:fldChar w:fldCharType="separate"/>
      </w:r>
    </w:p>
    <w:p>
      <w:pPr>
        <w:pStyle w:val="6"/>
        <w:tabs>
          <w:tab w:val="right" w:leader="dot" w:pos="9060"/>
        </w:tabs>
        <w:rPr>
          <w:rFonts w:ascii="Times New Roman" w:hAnsi="Times New Roman" w:eastAsia="宋体"/>
          <w:sz w:val="28"/>
        </w:rPr>
      </w:pPr>
      <w:r>
        <w:fldChar w:fldCharType="begin"/>
      </w:r>
      <w:r>
        <w:instrText xml:space="preserve"> HYPERLINK \l "_Toc147996963" </w:instrText>
      </w:r>
      <w:r>
        <w:fldChar w:fldCharType="separate"/>
      </w:r>
      <w:r>
        <w:rPr>
          <w:rStyle w:val="10"/>
          <w:rFonts w:ascii="Times New Roman" w:hAnsi="Times New Roman" w:eastAsia="宋体" w:cs="Times New Roman"/>
          <w:bCs/>
          <w:kern w:val="44"/>
          <w:sz w:val="28"/>
        </w:rPr>
        <w:t>一、建设项目基本情况</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_Toc147996963 \h </w:instrText>
      </w:r>
      <w:r>
        <w:rPr>
          <w:rFonts w:ascii="Times New Roman" w:hAnsi="Times New Roman" w:eastAsia="宋体"/>
          <w:sz w:val="28"/>
        </w:rPr>
        <w:fldChar w:fldCharType="separate"/>
      </w:r>
      <w:r>
        <w:rPr>
          <w:rFonts w:ascii="Times New Roman" w:hAnsi="Times New Roman" w:eastAsia="宋体"/>
          <w:sz w:val="28"/>
        </w:rPr>
        <w:t>- 1 -</w:t>
      </w:r>
      <w:r>
        <w:rPr>
          <w:rFonts w:ascii="Times New Roman" w:hAnsi="Times New Roman" w:eastAsia="宋体"/>
          <w:sz w:val="28"/>
        </w:rPr>
        <w:fldChar w:fldCharType="end"/>
      </w:r>
      <w:r>
        <w:rPr>
          <w:rFonts w:ascii="Times New Roman" w:hAnsi="Times New Roman" w:eastAsia="宋体"/>
          <w:sz w:val="28"/>
        </w:rPr>
        <w:fldChar w:fldCharType="end"/>
      </w:r>
    </w:p>
    <w:p>
      <w:pPr>
        <w:pStyle w:val="6"/>
        <w:tabs>
          <w:tab w:val="right" w:leader="dot" w:pos="9060"/>
        </w:tabs>
        <w:rPr>
          <w:rFonts w:ascii="Times New Roman" w:hAnsi="Times New Roman" w:eastAsia="宋体"/>
          <w:sz w:val="28"/>
        </w:rPr>
      </w:pPr>
      <w:r>
        <w:fldChar w:fldCharType="begin"/>
      </w:r>
      <w:r>
        <w:instrText xml:space="preserve"> HYPERLINK \l "_Toc147996964" </w:instrText>
      </w:r>
      <w:r>
        <w:fldChar w:fldCharType="separate"/>
      </w:r>
      <w:r>
        <w:rPr>
          <w:rStyle w:val="10"/>
          <w:rFonts w:ascii="Times New Roman" w:hAnsi="Times New Roman" w:eastAsia="宋体" w:cs="Times New Roman"/>
          <w:bCs/>
          <w:kern w:val="44"/>
          <w:sz w:val="28"/>
        </w:rPr>
        <w:t>二、建设项目工程分析</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_Toc147996964 \h </w:instrText>
      </w:r>
      <w:r>
        <w:rPr>
          <w:rFonts w:ascii="Times New Roman" w:hAnsi="Times New Roman" w:eastAsia="宋体"/>
          <w:sz w:val="28"/>
        </w:rPr>
        <w:fldChar w:fldCharType="separate"/>
      </w:r>
      <w:r>
        <w:rPr>
          <w:rFonts w:ascii="Times New Roman" w:hAnsi="Times New Roman" w:eastAsia="宋体"/>
          <w:sz w:val="28"/>
        </w:rPr>
        <w:t>- 7 -</w:t>
      </w:r>
      <w:r>
        <w:rPr>
          <w:rFonts w:ascii="Times New Roman" w:hAnsi="Times New Roman" w:eastAsia="宋体"/>
          <w:sz w:val="28"/>
        </w:rPr>
        <w:fldChar w:fldCharType="end"/>
      </w:r>
      <w:r>
        <w:rPr>
          <w:rFonts w:ascii="Times New Roman" w:hAnsi="Times New Roman" w:eastAsia="宋体"/>
          <w:sz w:val="28"/>
        </w:rPr>
        <w:fldChar w:fldCharType="end"/>
      </w:r>
    </w:p>
    <w:p>
      <w:pPr>
        <w:pStyle w:val="6"/>
        <w:tabs>
          <w:tab w:val="right" w:leader="dot" w:pos="9060"/>
        </w:tabs>
        <w:rPr>
          <w:rFonts w:ascii="Times New Roman" w:hAnsi="Times New Roman" w:eastAsia="宋体"/>
          <w:sz w:val="28"/>
        </w:rPr>
      </w:pPr>
      <w:r>
        <w:fldChar w:fldCharType="begin"/>
      </w:r>
      <w:r>
        <w:instrText xml:space="preserve"> HYPERLINK \l "_Toc147996965" </w:instrText>
      </w:r>
      <w:r>
        <w:fldChar w:fldCharType="separate"/>
      </w:r>
      <w:r>
        <w:rPr>
          <w:rStyle w:val="10"/>
          <w:rFonts w:ascii="Times New Roman" w:hAnsi="Times New Roman" w:eastAsia="宋体" w:cs="Times New Roman"/>
          <w:bCs/>
          <w:kern w:val="44"/>
          <w:sz w:val="28"/>
        </w:rPr>
        <w:t>三、区域环境质量现状、环境保护目标及评价标准</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_Toc147996965 \h </w:instrText>
      </w:r>
      <w:r>
        <w:rPr>
          <w:rFonts w:ascii="Times New Roman" w:hAnsi="Times New Roman" w:eastAsia="宋体"/>
          <w:sz w:val="28"/>
        </w:rPr>
        <w:fldChar w:fldCharType="separate"/>
      </w:r>
      <w:r>
        <w:rPr>
          <w:rFonts w:ascii="Times New Roman" w:hAnsi="Times New Roman" w:eastAsia="宋体"/>
          <w:sz w:val="28"/>
        </w:rPr>
        <w:t>- 13 -</w:t>
      </w:r>
      <w:r>
        <w:rPr>
          <w:rFonts w:ascii="Times New Roman" w:hAnsi="Times New Roman" w:eastAsia="宋体"/>
          <w:sz w:val="28"/>
        </w:rPr>
        <w:fldChar w:fldCharType="end"/>
      </w:r>
      <w:r>
        <w:rPr>
          <w:rFonts w:ascii="Times New Roman" w:hAnsi="Times New Roman" w:eastAsia="宋体"/>
          <w:sz w:val="28"/>
        </w:rPr>
        <w:fldChar w:fldCharType="end"/>
      </w:r>
    </w:p>
    <w:p>
      <w:pPr>
        <w:pStyle w:val="6"/>
        <w:tabs>
          <w:tab w:val="right" w:leader="dot" w:pos="9060"/>
        </w:tabs>
        <w:rPr>
          <w:rFonts w:ascii="Times New Roman" w:hAnsi="Times New Roman" w:eastAsia="宋体"/>
          <w:sz w:val="28"/>
        </w:rPr>
      </w:pPr>
      <w:r>
        <w:fldChar w:fldCharType="begin"/>
      </w:r>
      <w:r>
        <w:instrText xml:space="preserve"> HYPERLINK \l "_Toc147996966" </w:instrText>
      </w:r>
      <w:r>
        <w:fldChar w:fldCharType="separate"/>
      </w:r>
      <w:r>
        <w:rPr>
          <w:rStyle w:val="10"/>
          <w:rFonts w:ascii="Times New Roman" w:hAnsi="Times New Roman" w:eastAsia="宋体" w:cs="Times New Roman"/>
          <w:bCs/>
          <w:snapToGrid w:val="0"/>
          <w:sz w:val="28"/>
        </w:rPr>
        <w:t>四、主要环境影响和保护措施</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_Toc147996966 \h </w:instrText>
      </w:r>
      <w:r>
        <w:rPr>
          <w:rFonts w:ascii="Times New Roman" w:hAnsi="Times New Roman" w:eastAsia="宋体"/>
          <w:sz w:val="28"/>
        </w:rPr>
        <w:fldChar w:fldCharType="separate"/>
      </w:r>
      <w:r>
        <w:rPr>
          <w:rFonts w:ascii="Times New Roman" w:hAnsi="Times New Roman" w:eastAsia="宋体"/>
          <w:sz w:val="28"/>
        </w:rPr>
        <w:t>- 19 -</w:t>
      </w:r>
      <w:r>
        <w:rPr>
          <w:rFonts w:ascii="Times New Roman" w:hAnsi="Times New Roman" w:eastAsia="宋体"/>
          <w:sz w:val="28"/>
        </w:rPr>
        <w:fldChar w:fldCharType="end"/>
      </w:r>
      <w:r>
        <w:rPr>
          <w:rFonts w:ascii="Times New Roman" w:hAnsi="Times New Roman" w:eastAsia="宋体"/>
          <w:sz w:val="28"/>
        </w:rPr>
        <w:fldChar w:fldCharType="end"/>
      </w:r>
    </w:p>
    <w:p>
      <w:pPr>
        <w:pStyle w:val="6"/>
        <w:tabs>
          <w:tab w:val="right" w:leader="dot" w:pos="9060"/>
        </w:tabs>
        <w:rPr>
          <w:rFonts w:ascii="Times New Roman" w:hAnsi="Times New Roman" w:eastAsia="宋体"/>
          <w:sz w:val="28"/>
        </w:rPr>
      </w:pPr>
      <w:r>
        <w:fldChar w:fldCharType="begin"/>
      </w:r>
      <w:r>
        <w:instrText xml:space="preserve"> HYPERLINK \l "_Toc147996967" </w:instrText>
      </w:r>
      <w:r>
        <w:fldChar w:fldCharType="separate"/>
      </w:r>
      <w:r>
        <w:rPr>
          <w:rStyle w:val="10"/>
          <w:rFonts w:ascii="Times New Roman" w:hAnsi="Times New Roman" w:eastAsia="宋体" w:cs="Times New Roman"/>
          <w:bCs/>
          <w:kern w:val="44"/>
          <w:sz w:val="28"/>
        </w:rPr>
        <w:t>五、环境保护措施监督检查清单</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_Toc147996967 \h </w:instrText>
      </w:r>
      <w:r>
        <w:rPr>
          <w:rFonts w:ascii="Times New Roman" w:hAnsi="Times New Roman" w:eastAsia="宋体"/>
          <w:sz w:val="28"/>
        </w:rPr>
        <w:fldChar w:fldCharType="separate"/>
      </w:r>
      <w:r>
        <w:rPr>
          <w:rFonts w:ascii="Times New Roman" w:hAnsi="Times New Roman" w:eastAsia="宋体"/>
          <w:sz w:val="28"/>
        </w:rPr>
        <w:t>- 33 -</w:t>
      </w:r>
      <w:r>
        <w:rPr>
          <w:rFonts w:ascii="Times New Roman" w:hAnsi="Times New Roman" w:eastAsia="宋体"/>
          <w:sz w:val="28"/>
        </w:rPr>
        <w:fldChar w:fldCharType="end"/>
      </w:r>
      <w:r>
        <w:rPr>
          <w:rFonts w:ascii="Times New Roman" w:hAnsi="Times New Roman" w:eastAsia="宋体"/>
          <w:sz w:val="28"/>
        </w:rPr>
        <w:fldChar w:fldCharType="end"/>
      </w:r>
    </w:p>
    <w:p>
      <w:pPr>
        <w:pStyle w:val="6"/>
        <w:tabs>
          <w:tab w:val="right" w:leader="dot" w:pos="9060"/>
        </w:tabs>
        <w:rPr>
          <w:rFonts w:ascii="Times New Roman" w:hAnsi="Times New Roman" w:eastAsia="宋体"/>
          <w:sz w:val="28"/>
        </w:rPr>
      </w:pPr>
      <w:r>
        <w:fldChar w:fldCharType="begin"/>
      </w:r>
      <w:r>
        <w:instrText xml:space="preserve"> HYPERLINK \l "_Toc147996968" </w:instrText>
      </w:r>
      <w:r>
        <w:fldChar w:fldCharType="separate"/>
      </w:r>
      <w:r>
        <w:rPr>
          <w:rStyle w:val="10"/>
          <w:rFonts w:ascii="Times New Roman" w:hAnsi="Times New Roman" w:eastAsia="宋体" w:cs="Times New Roman"/>
          <w:bCs/>
          <w:kern w:val="44"/>
          <w:sz w:val="28"/>
        </w:rPr>
        <w:t>六、结论</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_Toc147996968 \h </w:instrText>
      </w:r>
      <w:r>
        <w:rPr>
          <w:rFonts w:ascii="Times New Roman" w:hAnsi="Times New Roman" w:eastAsia="宋体"/>
          <w:sz w:val="28"/>
        </w:rPr>
        <w:fldChar w:fldCharType="separate"/>
      </w:r>
      <w:r>
        <w:rPr>
          <w:rFonts w:ascii="Times New Roman" w:hAnsi="Times New Roman" w:eastAsia="宋体"/>
          <w:sz w:val="28"/>
        </w:rPr>
        <w:t>- 35 -</w:t>
      </w:r>
      <w:r>
        <w:rPr>
          <w:rFonts w:ascii="Times New Roman" w:hAnsi="Times New Roman" w:eastAsia="宋体"/>
          <w:sz w:val="28"/>
        </w:rPr>
        <w:fldChar w:fldCharType="end"/>
      </w:r>
      <w:r>
        <w:rPr>
          <w:rFonts w:ascii="Times New Roman" w:hAnsi="Times New Roman" w:eastAsia="宋体"/>
          <w:sz w:val="28"/>
        </w:rPr>
        <w:fldChar w:fldCharType="end"/>
      </w:r>
    </w:p>
    <w:p>
      <w:pPr>
        <w:pStyle w:val="6"/>
        <w:tabs>
          <w:tab w:val="right" w:leader="dot" w:pos="9060"/>
        </w:tabs>
        <w:rPr>
          <w:rFonts w:ascii="Times New Roman" w:hAnsi="Times New Roman" w:eastAsia="宋体"/>
          <w:sz w:val="28"/>
        </w:rPr>
      </w:pPr>
      <w:r>
        <w:fldChar w:fldCharType="begin"/>
      </w:r>
      <w:r>
        <w:instrText xml:space="preserve"> HYPERLINK \l "_Toc147996969" </w:instrText>
      </w:r>
      <w:r>
        <w:fldChar w:fldCharType="separate"/>
      </w:r>
      <w:r>
        <w:rPr>
          <w:rStyle w:val="10"/>
          <w:rFonts w:ascii="Times New Roman" w:hAnsi="Times New Roman" w:eastAsia="宋体" w:cs="Times New Roman"/>
          <w:snapToGrid w:val="0"/>
          <w:kern w:val="0"/>
          <w:sz w:val="28"/>
        </w:rPr>
        <w:t>附表</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_Toc147996969 \h </w:instrText>
      </w:r>
      <w:r>
        <w:rPr>
          <w:rFonts w:ascii="Times New Roman" w:hAnsi="Times New Roman" w:eastAsia="宋体"/>
          <w:sz w:val="28"/>
        </w:rPr>
        <w:fldChar w:fldCharType="separate"/>
      </w:r>
      <w:r>
        <w:rPr>
          <w:rFonts w:ascii="Times New Roman" w:hAnsi="Times New Roman" w:eastAsia="宋体"/>
          <w:sz w:val="28"/>
        </w:rPr>
        <w:t>- 36 -</w:t>
      </w:r>
      <w:r>
        <w:rPr>
          <w:rFonts w:ascii="Times New Roman" w:hAnsi="Times New Roman" w:eastAsia="宋体"/>
          <w:sz w:val="28"/>
        </w:rPr>
        <w:fldChar w:fldCharType="end"/>
      </w:r>
      <w:r>
        <w:rPr>
          <w:rFonts w:ascii="Times New Roman" w:hAnsi="Times New Roman" w:eastAsia="宋体"/>
          <w:sz w:val="28"/>
        </w:rPr>
        <w:fldChar w:fldCharType="end"/>
      </w:r>
    </w:p>
    <w:p>
      <w:r>
        <w:rPr>
          <w:rFonts w:ascii="宋体" w:hAnsi="宋体" w:eastAsia="宋体"/>
        </w:rPr>
        <w:fldChar w:fldCharType="end"/>
      </w:r>
    </w:p>
    <w:p>
      <w:pPr>
        <w:spacing w:line="360" w:lineRule="auto"/>
        <w:rPr>
          <w:rFonts w:ascii="宋体" w:hAnsi="宋体" w:eastAsia="宋体"/>
          <w:b/>
          <w:bCs/>
          <w:sz w:val="28"/>
          <w:szCs w:val="28"/>
        </w:rPr>
      </w:pPr>
      <w:r>
        <w:rPr>
          <w:rFonts w:hint="eastAsia" w:ascii="宋体" w:hAnsi="宋体" w:eastAsia="宋体"/>
          <w:b/>
          <w:bCs/>
          <w:sz w:val="28"/>
          <w:szCs w:val="28"/>
        </w:rPr>
        <w:t>附件</w:t>
      </w:r>
    </w:p>
    <w:p>
      <w:pPr>
        <w:spacing w:line="360" w:lineRule="auto"/>
        <w:rPr>
          <w:rFonts w:ascii="Times New Roman" w:hAnsi="Times New Roman" w:eastAsia="宋体"/>
          <w:sz w:val="24"/>
          <w:szCs w:val="24"/>
        </w:rPr>
      </w:pPr>
      <w:r>
        <w:rPr>
          <w:rFonts w:hint="eastAsia" w:ascii="Times New Roman" w:hAnsi="Times New Roman" w:eastAsia="宋体"/>
          <w:sz w:val="24"/>
          <w:szCs w:val="24"/>
        </w:rPr>
        <w:t>附件</w:t>
      </w:r>
      <w:r>
        <w:rPr>
          <w:rFonts w:ascii="Times New Roman" w:hAnsi="Times New Roman" w:eastAsia="宋体"/>
          <w:sz w:val="24"/>
          <w:szCs w:val="24"/>
        </w:rPr>
        <w:t>1 项目委托书</w:t>
      </w:r>
    </w:p>
    <w:p>
      <w:pPr>
        <w:spacing w:line="360" w:lineRule="auto"/>
        <w:rPr>
          <w:rFonts w:ascii="Times New Roman" w:hAnsi="Times New Roman" w:eastAsia="宋体"/>
          <w:sz w:val="24"/>
          <w:szCs w:val="24"/>
        </w:rPr>
      </w:pPr>
      <w:r>
        <w:rPr>
          <w:rFonts w:hint="eastAsia" w:ascii="Times New Roman" w:hAnsi="Times New Roman" w:eastAsia="宋体"/>
          <w:sz w:val="24"/>
          <w:szCs w:val="24"/>
        </w:rPr>
        <w:t>附件</w:t>
      </w:r>
      <w:r>
        <w:rPr>
          <w:rFonts w:ascii="Times New Roman" w:hAnsi="Times New Roman" w:eastAsia="宋体"/>
          <w:sz w:val="24"/>
          <w:szCs w:val="24"/>
        </w:rPr>
        <w:t>2 企业营业执照</w:t>
      </w:r>
    </w:p>
    <w:p>
      <w:pPr>
        <w:spacing w:line="360" w:lineRule="auto"/>
        <w:rPr>
          <w:rFonts w:ascii="Times New Roman" w:hAnsi="Times New Roman" w:eastAsia="宋体"/>
          <w:sz w:val="24"/>
          <w:szCs w:val="24"/>
        </w:rPr>
      </w:pPr>
      <w:r>
        <w:rPr>
          <w:rFonts w:hint="eastAsia" w:ascii="Times New Roman" w:hAnsi="Times New Roman" w:eastAsia="宋体"/>
          <w:sz w:val="24"/>
          <w:szCs w:val="24"/>
        </w:rPr>
        <w:t>附件</w:t>
      </w:r>
      <w:r>
        <w:rPr>
          <w:rFonts w:ascii="Times New Roman" w:hAnsi="Times New Roman" w:eastAsia="宋体"/>
          <w:sz w:val="24"/>
          <w:szCs w:val="24"/>
        </w:rPr>
        <w:t>3 项目所在地三区三线套图</w:t>
      </w:r>
    </w:p>
    <w:p>
      <w:pPr>
        <w:spacing w:line="360" w:lineRule="auto"/>
        <w:rPr>
          <w:rFonts w:ascii="Times New Roman" w:hAnsi="Times New Roman" w:eastAsia="宋体"/>
          <w:sz w:val="24"/>
          <w:szCs w:val="24"/>
        </w:rPr>
      </w:pPr>
      <w:r>
        <w:rPr>
          <w:rFonts w:hint="eastAsia" w:ascii="Times New Roman" w:hAnsi="Times New Roman" w:eastAsia="宋体"/>
          <w:sz w:val="24"/>
          <w:szCs w:val="24"/>
        </w:rPr>
        <w:t>附件</w:t>
      </w:r>
      <w:r>
        <w:rPr>
          <w:rFonts w:hint="eastAsia" w:ascii="Times New Roman" w:hAnsi="Times New Roman" w:eastAsia="宋体"/>
          <w:sz w:val="24"/>
          <w:szCs w:val="24"/>
          <w:lang w:val="en-US" w:eastAsia="zh-CN"/>
        </w:rPr>
        <w:t>4</w:t>
      </w:r>
      <w:r>
        <w:rPr>
          <w:rFonts w:ascii="Times New Roman" w:hAnsi="Times New Roman" w:eastAsia="宋体"/>
          <w:sz w:val="24"/>
          <w:szCs w:val="24"/>
        </w:rPr>
        <w:t xml:space="preserve"> </w:t>
      </w:r>
      <w:r>
        <w:rPr>
          <w:rFonts w:hint="eastAsia" w:ascii="Times New Roman" w:hAnsi="Times New Roman" w:eastAsia="宋体"/>
          <w:sz w:val="24"/>
          <w:szCs w:val="24"/>
        </w:rPr>
        <w:t>租赁合同</w:t>
      </w:r>
    </w:p>
    <w:p>
      <w:pPr>
        <w:spacing w:line="360" w:lineRule="auto"/>
        <w:rPr>
          <w:rFonts w:ascii="Times New Roman" w:hAnsi="Times New Roman" w:eastAsia="宋体"/>
          <w:sz w:val="24"/>
          <w:szCs w:val="24"/>
        </w:rPr>
      </w:pPr>
      <w:r>
        <w:rPr>
          <w:rFonts w:hint="eastAsia" w:ascii="Times New Roman" w:hAnsi="Times New Roman" w:eastAsia="宋体"/>
          <w:sz w:val="24"/>
          <w:szCs w:val="24"/>
        </w:rPr>
        <w:t>附件</w:t>
      </w:r>
      <w:r>
        <w:rPr>
          <w:rFonts w:hint="eastAsia" w:ascii="Times New Roman" w:hAnsi="Times New Roman" w:eastAsia="宋体"/>
          <w:sz w:val="24"/>
          <w:szCs w:val="24"/>
          <w:lang w:val="en-US" w:eastAsia="zh-CN"/>
        </w:rPr>
        <w:t>5</w:t>
      </w:r>
      <w:r>
        <w:rPr>
          <w:rFonts w:hint="eastAsia" w:ascii="Times New Roman" w:hAnsi="Times New Roman" w:eastAsia="宋体"/>
          <w:sz w:val="24"/>
          <w:szCs w:val="24"/>
        </w:rPr>
        <w:t xml:space="preserve"> 检测报告</w:t>
      </w:r>
    </w:p>
    <w:p>
      <w:pPr>
        <w:spacing w:line="360" w:lineRule="auto"/>
        <w:rPr>
          <w:rFonts w:ascii="宋体" w:hAnsi="宋体" w:eastAsia="宋体"/>
          <w:b/>
          <w:bCs/>
          <w:sz w:val="28"/>
          <w:szCs w:val="28"/>
        </w:rPr>
      </w:pPr>
      <w:r>
        <w:rPr>
          <w:rFonts w:hint="eastAsia" w:ascii="宋体" w:hAnsi="宋体" w:eastAsia="宋体"/>
          <w:b/>
          <w:bCs/>
          <w:sz w:val="28"/>
          <w:szCs w:val="28"/>
        </w:rPr>
        <w:t>附图</w:t>
      </w:r>
    </w:p>
    <w:p>
      <w:pPr>
        <w:spacing w:line="360" w:lineRule="auto"/>
        <w:rPr>
          <w:rFonts w:ascii="Times New Roman" w:hAnsi="Times New Roman" w:eastAsia="宋体"/>
          <w:sz w:val="24"/>
          <w:szCs w:val="24"/>
        </w:rPr>
      </w:pPr>
      <w:r>
        <w:rPr>
          <w:rFonts w:hint="eastAsia" w:ascii="Times New Roman" w:hAnsi="Times New Roman" w:eastAsia="宋体"/>
          <w:sz w:val="24"/>
          <w:szCs w:val="24"/>
        </w:rPr>
        <w:t>附图一项目地理位置图</w:t>
      </w:r>
    </w:p>
    <w:p>
      <w:pPr>
        <w:spacing w:line="360" w:lineRule="auto"/>
        <w:rPr>
          <w:rFonts w:ascii="Times New Roman" w:hAnsi="Times New Roman" w:eastAsia="宋体"/>
          <w:sz w:val="24"/>
          <w:szCs w:val="24"/>
        </w:rPr>
      </w:pPr>
      <w:r>
        <w:rPr>
          <w:rFonts w:hint="eastAsia" w:ascii="Times New Roman" w:hAnsi="Times New Roman" w:eastAsia="宋体"/>
          <w:sz w:val="24"/>
          <w:szCs w:val="24"/>
        </w:rPr>
        <w:t>附图二</w:t>
      </w:r>
      <w:r>
        <w:rPr>
          <w:rFonts w:ascii="Times New Roman" w:hAnsi="Times New Roman" w:eastAsia="宋体"/>
          <w:sz w:val="24"/>
          <w:szCs w:val="24"/>
        </w:rPr>
        <w:t xml:space="preserve"> 项目所在水系图</w:t>
      </w:r>
    </w:p>
    <w:p>
      <w:pPr>
        <w:spacing w:line="360" w:lineRule="auto"/>
        <w:rPr>
          <w:rFonts w:ascii="Times New Roman" w:hAnsi="Times New Roman" w:eastAsia="宋体"/>
          <w:sz w:val="24"/>
          <w:szCs w:val="24"/>
        </w:rPr>
      </w:pPr>
      <w:r>
        <w:rPr>
          <w:rFonts w:hint="eastAsia" w:ascii="Times New Roman" w:hAnsi="Times New Roman" w:eastAsia="宋体"/>
          <w:sz w:val="24"/>
          <w:szCs w:val="24"/>
        </w:rPr>
        <w:t>附图三</w:t>
      </w:r>
      <w:r>
        <w:rPr>
          <w:rFonts w:ascii="Times New Roman" w:hAnsi="Times New Roman" w:eastAsia="宋体"/>
          <w:sz w:val="24"/>
          <w:szCs w:val="24"/>
        </w:rPr>
        <w:t xml:space="preserve"> 项目平面布置图</w:t>
      </w:r>
    </w:p>
    <w:p>
      <w:pPr>
        <w:spacing w:line="360" w:lineRule="auto"/>
        <w:rPr>
          <w:rFonts w:ascii="Times New Roman" w:hAnsi="Times New Roman" w:eastAsia="宋体"/>
          <w:sz w:val="24"/>
          <w:szCs w:val="24"/>
        </w:rPr>
      </w:pPr>
      <w:r>
        <w:rPr>
          <w:rFonts w:hint="eastAsia" w:ascii="Times New Roman" w:hAnsi="Times New Roman" w:eastAsia="宋体"/>
          <w:sz w:val="24"/>
          <w:szCs w:val="24"/>
        </w:rPr>
        <w:t>附图四</w:t>
      </w:r>
      <w:r>
        <w:rPr>
          <w:rFonts w:ascii="Times New Roman" w:hAnsi="Times New Roman" w:eastAsia="宋体"/>
          <w:sz w:val="24"/>
          <w:szCs w:val="24"/>
        </w:rPr>
        <w:t xml:space="preserve"> 环境保护目标示意图</w:t>
      </w:r>
    </w:p>
    <w:p>
      <w:pPr>
        <w:spacing w:line="360" w:lineRule="auto"/>
        <w:rPr>
          <w:rFonts w:ascii="Times New Roman" w:hAnsi="Times New Roman" w:eastAsia="宋体"/>
          <w:sz w:val="24"/>
          <w:szCs w:val="24"/>
        </w:rPr>
        <w:sectPr>
          <w:pgSz w:w="11906" w:h="16838"/>
          <w:pgMar w:top="1418" w:right="1418" w:bottom="1418" w:left="1418" w:header="851" w:footer="992" w:gutter="0"/>
          <w:cols w:space="425" w:num="1"/>
          <w:docGrid w:type="lines" w:linePitch="312" w:charSpace="0"/>
        </w:sectPr>
      </w:pPr>
      <w:r>
        <w:rPr>
          <w:rFonts w:hint="eastAsia" w:ascii="Times New Roman" w:hAnsi="Times New Roman" w:eastAsia="宋体"/>
          <w:sz w:val="24"/>
          <w:szCs w:val="24"/>
        </w:rPr>
        <w:t>附图五 环境现状监测布点图</w:t>
      </w:r>
    </w:p>
    <w:p>
      <w:pPr>
        <w:tabs>
          <w:tab w:val="left" w:pos="993"/>
        </w:tabs>
        <w:jc w:val="center"/>
        <w:outlineLvl w:val="0"/>
        <w:rPr>
          <w:rFonts w:ascii="Times New Roman" w:hAnsi="Times New Roman" w:eastAsia="宋体" w:cs="Times New Roman"/>
          <w:b/>
          <w:bCs/>
          <w:color w:val="000000"/>
          <w:kern w:val="44"/>
          <w:sz w:val="30"/>
          <w:szCs w:val="30"/>
        </w:rPr>
      </w:pPr>
      <w:bookmarkStart w:id="14" w:name="_Toc95293580"/>
      <w:bookmarkStart w:id="15" w:name="_Toc147996963"/>
      <w:bookmarkStart w:id="16" w:name="_Toc17815044"/>
      <w:bookmarkStart w:id="17" w:name="_Toc135115371"/>
      <w:bookmarkStart w:id="18" w:name="_Toc104352116"/>
      <w:bookmarkStart w:id="19" w:name="_Toc133553709"/>
      <w:bookmarkStart w:id="20" w:name="_Toc138957532"/>
      <w:bookmarkStart w:id="21" w:name="_Toc121378771"/>
      <w:bookmarkStart w:id="22" w:name="_Toc123889540"/>
      <w:bookmarkStart w:id="23" w:name="_Toc96962417"/>
      <w:bookmarkStart w:id="24" w:name="_Hlk95214302"/>
      <w:r>
        <w:rPr>
          <w:rFonts w:hint="eastAsia" w:ascii="Times New Roman" w:hAnsi="Times New Roman" w:eastAsia="宋体" w:cs="Times New Roman"/>
          <w:b/>
          <w:bCs/>
          <w:color w:val="000000"/>
          <w:kern w:val="44"/>
          <w:sz w:val="30"/>
          <w:szCs w:val="30"/>
        </w:rPr>
        <w:t>一、建设项目基本情况</w:t>
      </w:r>
      <w:bookmarkEnd w:id="14"/>
      <w:bookmarkEnd w:id="15"/>
      <w:bookmarkEnd w:id="16"/>
      <w:bookmarkEnd w:id="17"/>
      <w:bookmarkEnd w:id="18"/>
      <w:bookmarkEnd w:id="19"/>
      <w:bookmarkEnd w:id="20"/>
      <w:bookmarkEnd w:id="21"/>
      <w:bookmarkEnd w:id="22"/>
      <w:bookmarkEnd w:id="23"/>
    </w:p>
    <w:bookmarkEnd w:id="24"/>
    <w:tbl>
      <w:tblPr>
        <w:tblStyle w:val="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64"/>
        <w:gridCol w:w="2058"/>
        <w:gridCol w:w="2325"/>
        <w:gridCol w:w="28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25" w:type="pct"/>
            <w:tcMar>
              <w:top w:w="16" w:type="dxa"/>
              <w:left w:w="16" w:type="dxa"/>
              <w:right w:w="16" w:type="dxa"/>
            </w:tcMar>
            <w:vAlign w:val="center"/>
          </w:tcPr>
          <w:p>
            <w:pPr>
              <w:adjustRightInd w:val="0"/>
              <w:snapToGrid w:val="0"/>
              <w:jc w:val="center"/>
              <w:rPr>
                <w:rFonts w:ascii="Times New Roman" w:hAnsi="Times New Roman" w:eastAsia="宋体" w:cs="Times New Roman"/>
                <w:sz w:val="24"/>
                <w:szCs w:val="24"/>
              </w:rPr>
            </w:pPr>
            <w:bookmarkStart w:id="25" w:name="_Hlk95214309"/>
            <w:r>
              <w:rPr>
                <w:rFonts w:ascii="Times New Roman" w:hAnsi="Times New Roman" w:eastAsia="宋体" w:cs="Times New Roman"/>
                <w:sz w:val="24"/>
                <w:szCs w:val="24"/>
              </w:rPr>
              <w:t>建设项目名称</w:t>
            </w:r>
          </w:p>
        </w:tc>
        <w:tc>
          <w:tcPr>
            <w:tcW w:w="3975" w:type="pct"/>
            <w:gridSpan w:val="3"/>
            <w:vAlign w:val="center"/>
          </w:tcPr>
          <w:p>
            <w:pPr>
              <w:adjustRightInd w:val="0"/>
              <w:snapToGrid w:val="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郴州茂鑫贸易有限公司煤坪堆场建设项目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25" w:type="pct"/>
            <w:tcMar>
              <w:top w:w="16" w:type="dxa"/>
              <w:left w:w="16" w:type="dxa"/>
              <w:right w:w="16" w:type="dxa"/>
            </w:tcMar>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项目代码</w:t>
            </w:r>
          </w:p>
        </w:tc>
        <w:tc>
          <w:tcPr>
            <w:tcW w:w="3975" w:type="pct"/>
            <w:gridSpan w:val="3"/>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25" w:type="pct"/>
            <w:tcMar>
              <w:top w:w="16" w:type="dxa"/>
              <w:left w:w="16" w:type="dxa"/>
              <w:right w:w="16" w:type="dxa"/>
            </w:tcMar>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建设单位联系人</w:t>
            </w:r>
          </w:p>
        </w:tc>
        <w:tc>
          <w:tcPr>
            <w:tcW w:w="1131" w:type="pct"/>
            <w:vAlign w:val="center"/>
          </w:tcPr>
          <w:p>
            <w:pPr>
              <w:adjustRightInd w:val="0"/>
              <w:snapToGrid w:val="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林戊礼</w:t>
            </w:r>
          </w:p>
        </w:tc>
        <w:tc>
          <w:tcPr>
            <w:tcW w:w="1278" w:type="pct"/>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联系方式</w:t>
            </w:r>
          </w:p>
        </w:tc>
        <w:tc>
          <w:tcPr>
            <w:tcW w:w="1566" w:type="pct"/>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15173582293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25" w:type="pct"/>
            <w:tcMar>
              <w:top w:w="16" w:type="dxa"/>
              <w:left w:w="16" w:type="dxa"/>
              <w:right w:w="16" w:type="dxa"/>
            </w:tcMar>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建设地点</w:t>
            </w:r>
          </w:p>
        </w:tc>
        <w:tc>
          <w:tcPr>
            <w:tcW w:w="3975" w:type="pct"/>
            <w:gridSpan w:val="3"/>
            <w:vAlign w:val="center"/>
          </w:tcPr>
          <w:p>
            <w:pPr>
              <w:adjustRightInd w:val="0"/>
              <w:snapToGrid w:val="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湖南省郴州市永兴县湘阴渡街道燕尾村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25" w:type="pct"/>
            <w:tcMar>
              <w:top w:w="16" w:type="dxa"/>
              <w:left w:w="16" w:type="dxa"/>
              <w:right w:w="16" w:type="dxa"/>
            </w:tcMar>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地理坐标</w:t>
            </w:r>
          </w:p>
          <w:p>
            <w:pPr>
              <w:adjustRightInd w:val="0"/>
              <w:snapToGrid w:val="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GCJ-02坐标</w:t>
            </w:r>
            <w:r>
              <w:rPr>
                <w:rFonts w:hint="eastAsia" w:ascii="Times New Roman" w:hAnsi="Times New Roman" w:eastAsia="宋体" w:cs="Times New Roman"/>
                <w:sz w:val="24"/>
                <w:szCs w:val="24"/>
              </w:rPr>
              <w:t>）</w:t>
            </w:r>
          </w:p>
        </w:tc>
        <w:tc>
          <w:tcPr>
            <w:tcW w:w="3975" w:type="pct"/>
            <w:gridSpan w:val="3"/>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东经：</w:t>
            </w:r>
            <w:r>
              <w:rPr>
                <w:rFonts w:ascii="Times New Roman" w:hAnsi="Times New Roman" w:eastAsia="宋体" w:cs="Times New Roman"/>
                <w:sz w:val="24"/>
                <w:szCs w:val="24"/>
              </w:rPr>
              <w:t>112°59′2.82″</w:t>
            </w:r>
            <w:r>
              <w:rPr>
                <w:rFonts w:hint="eastAsia" w:ascii="Times New Roman" w:hAnsi="Times New Roman" w:eastAsia="宋体" w:cs="Times New Roman"/>
                <w:sz w:val="24"/>
                <w:szCs w:val="24"/>
              </w:rPr>
              <w:t>；北纬：</w:t>
            </w:r>
            <w:r>
              <w:rPr>
                <w:rFonts w:ascii="Times New Roman" w:hAnsi="Times New Roman" w:eastAsia="宋体" w:cs="Times New Roman"/>
                <w:sz w:val="24"/>
                <w:szCs w:val="24"/>
              </w:rPr>
              <w:t>25°3′39.10″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25" w:type="pct"/>
            <w:tcMar>
              <w:top w:w="16" w:type="dxa"/>
              <w:left w:w="16" w:type="dxa"/>
              <w:right w:w="16" w:type="dxa"/>
            </w:tcMar>
            <w:vAlign w:val="center"/>
          </w:tcPr>
          <w:p>
            <w:pPr>
              <w:adjustRightInd w:val="0"/>
              <w:snapToGrid w:val="0"/>
              <w:jc w:val="center"/>
              <w:rPr>
                <w:rFonts w:ascii="Times New Roman" w:hAnsi="Times New Roman" w:eastAsia="宋体" w:cs="宋体"/>
                <w:sz w:val="24"/>
                <w:szCs w:val="24"/>
              </w:rPr>
            </w:pPr>
            <w:r>
              <w:rPr>
                <w:rFonts w:hint="eastAsia" w:ascii="Times New Roman" w:hAnsi="Times New Roman" w:eastAsia="宋体" w:cs="宋体"/>
                <w:sz w:val="24"/>
                <w:szCs w:val="24"/>
              </w:rPr>
              <w:t>国民经济</w:t>
            </w:r>
          </w:p>
          <w:p>
            <w:pPr>
              <w:adjustRightInd w:val="0"/>
              <w:snapToGrid w:val="0"/>
              <w:jc w:val="center"/>
              <w:rPr>
                <w:rFonts w:ascii="Times New Roman" w:hAnsi="Times New Roman" w:eastAsia="宋体" w:cs="宋体"/>
                <w:sz w:val="24"/>
                <w:szCs w:val="24"/>
              </w:rPr>
            </w:pPr>
            <w:r>
              <w:rPr>
                <w:rFonts w:hint="eastAsia" w:ascii="Times New Roman" w:hAnsi="Times New Roman" w:eastAsia="宋体" w:cs="宋体"/>
                <w:sz w:val="24"/>
                <w:szCs w:val="24"/>
              </w:rPr>
              <w:t>行业类别</w:t>
            </w:r>
          </w:p>
        </w:tc>
        <w:tc>
          <w:tcPr>
            <w:tcW w:w="1131" w:type="pct"/>
            <w:vAlign w:val="center"/>
          </w:tcPr>
          <w:p>
            <w:pPr>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烟煤和无烟煤开采洗选（B</w:t>
            </w:r>
            <w:r>
              <w:rPr>
                <w:rFonts w:ascii="Times New Roman" w:hAnsi="Times New Roman" w:eastAsia="宋体" w:cs="Times New Roman"/>
                <w:sz w:val="24"/>
                <w:szCs w:val="24"/>
              </w:rPr>
              <w:t>0610</w:t>
            </w:r>
            <w:r>
              <w:rPr>
                <w:rFonts w:hint="eastAsia" w:ascii="Times New Roman" w:hAnsi="Times New Roman" w:eastAsia="宋体" w:cs="Times New Roman"/>
                <w:sz w:val="24"/>
                <w:szCs w:val="24"/>
              </w:rPr>
              <w:t>）</w:t>
            </w:r>
          </w:p>
        </w:tc>
        <w:tc>
          <w:tcPr>
            <w:tcW w:w="1278" w:type="pct"/>
            <w:vAlign w:val="center"/>
          </w:tcPr>
          <w:p>
            <w:pPr>
              <w:adjustRightInd w:val="0"/>
              <w:snapToGrid w:val="0"/>
              <w:jc w:val="center"/>
              <w:rPr>
                <w:rFonts w:ascii="Times New Roman" w:hAnsi="Times New Roman" w:eastAsia="宋体" w:cs="宋体"/>
                <w:sz w:val="24"/>
                <w:szCs w:val="24"/>
              </w:rPr>
            </w:pPr>
            <w:bookmarkStart w:id="26" w:name="_Hlk49843745"/>
            <w:r>
              <w:rPr>
                <w:rFonts w:hint="eastAsia" w:ascii="Times New Roman" w:hAnsi="Times New Roman" w:eastAsia="宋体" w:cs="宋体"/>
                <w:sz w:val="24"/>
                <w:szCs w:val="24"/>
              </w:rPr>
              <w:t>建设项目</w:t>
            </w:r>
          </w:p>
          <w:p>
            <w:pPr>
              <w:adjustRightInd w:val="0"/>
              <w:snapToGrid w:val="0"/>
              <w:jc w:val="center"/>
              <w:rPr>
                <w:rFonts w:ascii="Times New Roman" w:hAnsi="Times New Roman" w:eastAsia="宋体" w:cs="宋体"/>
                <w:sz w:val="24"/>
                <w:szCs w:val="24"/>
              </w:rPr>
            </w:pPr>
            <w:r>
              <w:rPr>
                <w:rFonts w:hint="eastAsia" w:ascii="Times New Roman" w:hAnsi="Times New Roman" w:eastAsia="宋体" w:cs="宋体"/>
                <w:sz w:val="24"/>
                <w:szCs w:val="24"/>
              </w:rPr>
              <w:t>行业类别</w:t>
            </w:r>
            <w:bookmarkEnd w:id="26"/>
          </w:p>
        </w:tc>
        <w:tc>
          <w:tcPr>
            <w:tcW w:w="1566" w:type="pct"/>
            <w:vAlign w:val="center"/>
          </w:tcPr>
          <w:p>
            <w:pPr>
              <w:jc w:val="left"/>
              <w:rPr>
                <w:rFonts w:ascii="Times New Roman" w:hAnsi="Times New Roman" w:eastAsia="宋体" w:cs="宋体"/>
                <w:sz w:val="24"/>
                <w:szCs w:val="24"/>
              </w:rPr>
            </w:pPr>
            <w:r>
              <w:rPr>
                <w:rFonts w:hint="eastAsia" w:ascii="Times New Roman" w:hAnsi="Times New Roman" w:eastAsia="宋体" w:cs="宋体"/>
                <w:sz w:val="24"/>
                <w:szCs w:val="24"/>
              </w:rPr>
              <w:t>四、煤炭开采和洗选业0</w:t>
            </w:r>
            <w:r>
              <w:rPr>
                <w:rFonts w:ascii="Times New Roman" w:hAnsi="Times New Roman" w:eastAsia="宋体" w:cs="宋体"/>
                <w:sz w:val="24"/>
                <w:szCs w:val="24"/>
              </w:rPr>
              <w:t>6</w:t>
            </w:r>
            <w:r>
              <w:rPr>
                <w:rFonts w:hint="eastAsia" w:ascii="Times New Roman" w:hAnsi="Times New Roman" w:eastAsia="宋体" w:cs="宋体"/>
                <w:sz w:val="24"/>
                <w:szCs w:val="24"/>
              </w:rPr>
              <w:t>；6</w:t>
            </w:r>
            <w:r>
              <w:rPr>
                <w:rFonts w:ascii="Times New Roman" w:hAnsi="Times New Roman" w:eastAsia="宋体" w:cs="宋体"/>
                <w:sz w:val="24"/>
                <w:szCs w:val="24"/>
              </w:rPr>
              <w:t>.</w:t>
            </w:r>
            <w:r>
              <w:rPr>
                <w:rFonts w:hint="eastAsia" w:ascii="Times New Roman" w:hAnsi="Times New Roman" w:eastAsia="宋体" w:cs="宋体"/>
                <w:sz w:val="24"/>
                <w:szCs w:val="24"/>
              </w:rPr>
              <w:t>烟煤和无烟煤开采洗选0</w:t>
            </w:r>
            <w:r>
              <w:rPr>
                <w:rFonts w:ascii="Times New Roman" w:hAnsi="Times New Roman" w:eastAsia="宋体" w:cs="宋体"/>
                <w:sz w:val="24"/>
                <w:szCs w:val="24"/>
              </w:rPr>
              <w:t>69</w:t>
            </w:r>
            <w:r>
              <w:rPr>
                <w:rFonts w:hint="eastAsia" w:ascii="Times New Roman" w:hAnsi="Times New Roman" w:eastAsia="宋体" w:cs="宋体"/>
                <w:sz w:val="24"/>
                <w:szCs w:val="24"/>
              </w:rPr>
              <w:t>、其他煤炭采选中的煤炭储存、集运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25" w:type="pct"/>
            <w:tcMar>
              <w:top w:w="16" w:type="dxa"/>
              <w:left w:w="16" w:type="dxa"/>
              <w:right w:w="16" w:type="dxa"/>
            </w:tcMar>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建设性质</w:t>
            </w:r>
          </w:p>
        </w:tc>
        <w:tc>
          <w:tcPr>
            <w:tcW w:w="1131" w:type="pct"/>
            <w:vAlign w:val="center"/>
          </w:tcPr>
          <w:p>
            <w:pPr>
              <w:jc w:val="left"/>
              <w:rPr>
                <w:rFonts w:ascii="宋体" w:hAnsi="宋体" w:eastAsia="宋体" w:cs="宋体"/>
                <w:sz w:val="24"/>
                <w:szCs w:val="24"/>
              </w:rPr>
            </w:pPr>
            <w:r>
              <w:rPr>
                <w:rFonts w:ascii="Segoe UI Emoji" w:hAnsi="Segoe UI Emoji" w:eastAsia="MS Mincho" w:cs="Segoe UI Emoji"/>
                <w:sz w:val="24"/>
                <w:szCs w:val="24"/>
              </w:rPr>
              <w:sym w:font="Wingdings 2" w:char="F052"/>
            </w:r>
            <w:r>
              <w:rPr>
                <w:rFonts w:hint="eastAsia" w:ascii="宋体" w:hAnsi="宋体" w:eastAsia="宋体" w:cs="宋体"/>
                <w:sz w:val="24"/>
                <w:szCs w:val="24"/>
              </w:rPr>
              <w:t>新建（迁建）</w:t>
            </w:r>
          </w:p>
          <w:p>
            <w:pPr>
              <w:jc w:val="left"/>
              <w:rPr>
                <w:rFonts w:ascii="宋体" w:hAnsi="宋体" w:eastAsia="宋体" w:cs="宋体"/>
                <w:sz w:val="24"/>
                <w:szCs w:val="24"/>
              </w:rPr>
            </w:pPr>
            <w:r>
              <w:rPr>
                <w:rFonts w:hint="eastAsia" w:ascii="宋体" w:hAnsi="宋体" w:eastAsia="宋体" w:cs="宋体"/>
                <w:sz w:val="24"/>
                <w:szCs w:val="24"/>
              </w:rPr>
              <w:t>□改建</w:t>
            </w:r>
          </w:p>
          <w:p>
            <w:pPr>
              <w:jc w:val="left"/>
              <w:rPr>
                <w:rFonts w:ascii="宋体" w:hAnsi="宋体" w:eastAsia="宋体" w:cs="宋体"/>
                <w:sz w:val="24"/>
                <w:szCs w:val="24"/>
              </w:rPr>
            </w:pPr>
            <w:r>
              <w:rPr>
                <w:rFonts w:hint="eastAsia" w:ascii="宋体" w:hAnsi="宋体" w:eastAsia="宋体" w:cs="宋体"/>
                <w:sz w:val="24"/>
                <w:szCs w:val="24"/>
              </w:rPr>
              <w:t>□扩建</w:t>
            </w:r>
          </w:p>
          <w:p>
            <w:pPr>
              <w:jc w:val="left"/>
              <w:rPr>
                <w:rFonts w:ascii="宋体" w:hAnsi="宋体" w:eastAsia="宋体" w:cs="宋体"/>
                <w:sz w:val="24"/>
                <w:szCs w:val="24"/>
              </w:rPr>
            </w:pPr>
            <w:r>
              <w:rPr>
                <w:rFonts w:hint="eastAsia" w:ascii="宋体" w:hAnsi="宋体" w:eastAsia="宋体" w:cs="宋体"/>
                <w:sz w:val="24"/>
                <w:szCs w:val="24"/>
              </w:rPr>
              <w:t>□技术改造</w:t>
            </w:r>
          </w:p>
        </w:tc>
        <w:tc>
          <w:tcPr>
            <w:tcW w:w="1278" w:type="pct"/>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建设项目</w:t>
            </w:r>
          </w:p>
          <w:p>
            <w:pPr>
              <w:adjustRightInd w:val="0"/>
              <w:snapToGrid w:val="0"/>
              <w:jc w:val="center"/>
              <w:rPr>
                <w:rFonts w:ascii="宋体" w:hAnsi="宋体" w:eastAsia="宋体" w:cs="宋体"/>
                <w:sz w:val="24"/>
                <w:szCs w:val="24"/>
              </w:rPr>
            </w:pPr>
            <w:r>
              <w:rPr>
                <w:rFonts w:hint="eastAsia" w:ascii="宋体" w:hAnsi="宋体" w:eastAsia="宋体" w:cs="宋体"/>
                <w:sz w:val="24"/>
                <w:szCs w:val="24"/>
              </w:rPr>
              <w:t>申报情形</w:t>
            </w:r>
          </w:p>
        </w:tc>
        <w:tc>
          <w:tcPr>
            <w:tcW w:w="1566" w:type="pct"/>
            <w:vAlign w:val="center"/>
          </w:tcPr>
          <w:p>
            <w:pPr>
              <w:jc w:val="left"/>
              <w:rPr>
                <w:rFonts w:ascii="宋体" w:hAnsi="宋体" w:eastAsia="宋体" w:cs="宋体"/>
                <w:sz w:val="24"/>
                <w:szCs w:val="24"/>
              </w:rPr>
            </w:pPr>
            <w:r>
              <w:rPr>
                <w:rFonts w:ascii="Segoe UI Emoji" w:hAnsi="Segoe UI Emoji" w:eastAsia="MS Mincho" w:cs="Segoe UI Emoji"/>
                <w:sz w:val="24"/>
                <w:szCs w:val="24"/>
              </w:rPr>
              <w:sym w:font="Wingdings 2" w:char="F052"/>
            </w:r>
            <w:r>
              <w:rPr>
                <w:rFonts w:hint="eastAsia" w:ascii="宋体" w:hAnsi="宋体" w:eastAsia="宋体" w:cs="宋体"/>
                <w:sz w:val="24"/>
                <w:szCs w:val="24"/>
              </w:rPr>
              <w:t>首次申报项目</w:t>
            </w:r>
          </w:p>
          <w:p>
            <w:pPr>
              <w:jc w:val="left"/>
              <w:rPr>
                <w:rFonts w:ascii="宋体" w:hAnsi="宋体" w:eastAsia="宋体" w:cs="宋体"/>
                <w:sz w:val="24"/>
                <w:szCs w:val="24"/>
              </w:rPr>
            </w:pPr>
            <w:r>
              <w:rPr>
                <w:rFonts w:hint="eastAsia" w:ascii="宋体" w:hAnsi="宋体" w:eastAsia="宋体" w:cs="宋体"/>
                <w:sz w:val="24"/>
                <w:szCs w:val="24"/>
              </w:rPr>
              <w:t>□不予批准后再次申报项目</w:t>
            </w:r>
          </w:p>
          <w:p>
            <w:pPr>
              <w:jc w:val="left"/>
              <w:rPr>
                <w:rFonts w:ascii="宋体" w:hAnsi="宋体" w:eastAsia="宋体" w:cs="宋体"/>
                <w:sz w:val="24"/>
                <w:szCs w:val="24"/>
              </w:rPr>
            </w:pPr>
            <w:r>
              <w:rPr>
                <w:rFonts w:hint="eastAsia" w:ascii="宋体" w:hAnsi="宋体" w:eastAsia="宋体" w:cs="宋体"/>
                <w:sz w:val="24"/>
                <w:szCs w:val="24"/>
              </w:rPr>
              <w:t>□超五年重新审核项目</w:t>
            </w:r>
          </w:p>
          <w:p>
            <w:pPr>
              <w:jc w:val="left"/>
              <w:rPr>
                <w:rFonts w:ascii="宋体" w:hAnsi="宋体" w:eastAsia="宋体" w:cs="宋体"/>
                <w:sz w:val="24"/>
                <w:szCs w:val="24"/>
              </w:rPr>
            </w:pPr>
            <w:r>
              <w:rPr>
                <w:rFonts w:hint="eastAsia" w:ascii="宋体" w:hAnsi="宋体" w:eastAsia="宋体" w:cs="宋体"/>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25" w:type="pct"/>
            <w:tcMar>
              <w:top w:w="16" w:type="dxa"/>
              <w:left w:w="16" w:type="dxa"/>
              <w:right w:w="16" w:type="dxa"/>
            </w:tcMar>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项目审批（核准</w:t>
            </w:r>
            <w:r>
              <w:rPr>
                <w:rFonts w:ascii="宋体" w:hAnsi="宋体" w:eastAsia="宋体" w:cs="宋体"/>
                <w:sz w:val="24"/>
                <w:szCs w:val="24"/>
              </w:rPr>
              <w:t>/</w:t>
            </w:r>
            <w:r>
              <w:rPr>
                <w:rFonts w:hint="eastAsia" w:ascii="宋体" w:hAnsi="宋体" w:eastAsia="宋体" w:cs="宋体"/>
                <w:sz w:val="24"/>
                <w:szCs w:val="24"/>
              </w:rPr>
              <w:t>备案）部门（选填）</w:t>
            </w:r>
          </w:p>
        </w:tc>
        <w:tc>
          <w:tcPr>
            <w:tcW w:w="1131" w:type="pct"/>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w:t>
            </w:r>
          </w:p>
        </w:tc>
        <w:tc>
          <w:tcPr>
            <w:tcW w:w="1278" w:type="pct"/>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项目审批（核准</w:t>
            </w:r>
            <w:r>
              <w:rPr>
                <w:rFonts w:ascii="宋体" w:hAnsi="宋体" w:eastAsia="宋体" w:cs="宋体"/>
                <w:sz w:val="24"/>
                <w:szCs w:val="24"/>
              </w:rPr>
              <w:t>/</w:t>
            </w:r>
          </w:p>
          <w:p>
            <w:pPr>
              <w:adjustRightInd w:val="0"/>
              <w:snapToGrid w:val="0"/>
              <w:jc w:val="center"/>
              <w:rPr>
                <w:rFonts w:ascii="宋体" w:hAnsi="宋体" w:eastAsia="宋体" w:cs="宋体"/>
                <w:sz w:val="24"/>
                <w:szCs w:val="24"/>
              </w:rPr>
            </w:pPr>
            <w:r>
              <w:rPr>
                <w:rFonts w:hint="eastAsia" w:ascii="宋体" w:hAnsi="宋体" w:eastAsia="宋体" w:cs="宋体"/>
                <w:sz w:val="24"/>
                <w:szCs w:val="24"/>
              </w:rPr>
              <w:t>备案）文号（选填）</w:t>
            </w:r>
          </w:p>
        </w:tc>
        <w:tc>
          <w:tcPr>
            <w:tcW w:w="1566" w:type="pct"/>
            <w:vAlign w:val="center"/>
          </w:tcPr>
          <w:p>
            <w:pPr>
              <w:adjustRightInd w:val="0"/>
              <w:snapToGrid w:val="0"/>
              <w:jc w:val="center"/>
              <w:rPr>
                <w:rFonts w:ascii="Times New Roman" w:hAnsi="Times New Roman" w:eastAsia="宋体" w:cs="宋体"/>
                <w:sz w:val="24"/>
                <w:szCs w:val="24"/>
              </w:rPr>
            </w:pPr>
            <w:r>
              <w:rPr>
                <w:rFonts w:hint="eastAsia" w:ascii="Times New Roman" w:hAnsi="Times New Roman" w:eastAsia="宋体" w:cs="宋体"/>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1025" w:type="pct"/>
            <w:tcMar>
              <w:top w:w="16" w:type="dxa"/>
              <w:left w:w="16" w:type="dxa"/>
              <w:right w:w="16" w:type="dxa"/>
            </w:tcMar>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总投资（万元）</w:t>
            </w:r>
          </w:p>
        </w:tc>
        <w:tc>
          <w:tcPr>
            <w:tcW w:w="1131" w:type="pct"/>
            <w:vAlign w:val="center"/>
          </w:tcPr>
          <w:p>
            <w:pPr>
              <w:adjustRightInd w:val="0"/>
              <w:snapToGrid w:val="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00</w:t>
            </w:r>
          </w:p>
        </w:tc>
        <w:tc>
          <w:tcPr>
            <w:tcW w:w="1278" w:type="pct"/>
            <w:tcMar>
              <w:top w:w="16" w:type="dxa"/>
              <w:left w:w="16" w:type="dxa"/>
              <w:right w:w="16" w:type="dxa"/>
            </w:tcMar>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环保投资（万元）</w:t>
            </w:r>
          </w:p>
        </w:tc>
        <w:tc>
          <w:tcPr>
            <w:tcW w:w="1566" w:type="pct"/>
            <w:vAlign w:val="center"/>
          </w:tcPr>
          <w:p>
            <w:pPr>
              <w:adjustRightInd w:val="0"/>
              <w:snapToGrid w:val="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4" w:hRule="atLeast"/>
          <w:jc w:val="center"/>
        </w:trPr>
        <w:tc>
          <w:tcPr>
            <w:tcW w:w="1025" w:type="pct"/>
            <w:tcMar>
              <w:top w:w="16" w:type="dxa"/>
              <w:left w:w="16" w:type="dxa"/>
              <w:right w:w="16" w:type="dxa"/>
            </w:tcMar>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环保投资占比（%）</w:t>
            </w:r>
          </w:p>
        </w:tc>
        <w:tc>
          <w:tcPr>
            <w:tcW w:w="1131" w:type="pct"/>
            <w:vAlign w:val="center"/>
          </w:tcPr>
          <w:p>
            <w:pPr>
              <w:adjustRightInd w:val="0"/>
              <w:snapToGrid w:val="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0</w:t>
            </w:r>
          </w:p>
        </w:tc>
        <w:tc>
          <w:tcPr>
            <w:tcW w:w="1278" w:type="pct"/>
            <w:tcMar>
              <w:top w:w="16" w:type="dxa"/>
              <w:left w:w="16" w:type="dxa"/>
              <w:right w:w="16" w:type="dxa"/>
            </w:tcMar>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施工工期</w:t>
            </w:r>
          </w:p>
        </w:tc>
        <w:tc>
          <w:tcPr>
            <w:tcW w:w="1566" w:type="pct"/>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4" w:hRule="atLeast"/>
          <w:jc w:val="center"/>
        </w:trPr>
        <w:tc>
          <w:tcPr>
            <w:tcW w:w="1025" w:type="pct"/>
            <w:tcMar>
              <w:top w:w="16" w:type="dxa"/>
              <w:left w:w="16" w:type="dxa"/>
              <w:right w:w="16" w:type="dxa"/>
            </w:tcMar>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是否开工建设</w:t>
            </w:r>
          </w:p>
        </w:tc>
        <w:tc>
          <w:tcPr>
            <w:tcW w:w="1131" w:type="pct"/>
            <w:vAlign w:val="center"/>
          </w:tcPr>
          <w:p>
            <w:pPr>
              <w:adjustRightInd w:val="0"/>
              <w:snapToGrid w:val="0"/>
              <w:rPr>
                <w:rFonts w:ascii="宋体" w:hAnsi="宋体" w:eastAsia="宋体" w:cs="宋体"/>
                <w:sz w:val="24"/>
                <w:szCs w:val="24"/>
              </w:rPr>
            </w:pPr>
            <w:r>
              <w:rPr>
                <w:rFonts w:ascii="Segoe UI Emoji" w:hAnsi="Segoe UI Emoji" w:eastAsia="MS Mincho" w:cs="Segoe UI Emoji"/>
                <w:sz w:val="24"/>
                <w:szCs w:val="24"/>
              </w:rPr>
              <w:sym w:font="Wingdings 2" w:char="F052"/>
            </w:r>
            <w:r>
              <w:rPr>
                <w:rFonts w:hint="eastAsia" w:ascii="宋体" w:hAnsi="宋体" w:eastAsia="宋体" w:cs="宋体"/>
                <w:sz w:val="24"/>
                <w:szCs w:val="24"/>
              </w:rPr>
              <w:t>否</w:t>
            </w:r>
          </w:p>
          <w:p>
            <w:pPr>
              <w:adjustRightInd w:val="0"/>
              <w:snapToGrid w:val="0"/>
              <w:rPr>
                <w:rFonts w:ascii="宋体" w:hAnsi="宋体" w:eastAsia="宋体" w:cs="宋体"/>
                <w:sz w:val="24"/>
                <w:szCs w:val="24"/>
              </w:rPr>
            </w:pPr>
            <w:r>
              <w:rPr>
                <w:rFonts w:hint="eastAsia" w:ascii="宋体" w:hAnsi="宋体" w:eastAsia="宋体" w:cs="宋体"/>
                <w:sz w:val="24"/>
                <w:szCs w:val="24"/>
              </w:rPr>
              <w:t>□是</w:t>
            </w:r>
          </w:p>
        </w:tc>
        <w:tc>
          <w:tcPr>
            <w:tcW w:w="1278" w:type="pct"/>
            <w:tcMar>
              <w:top w:w="16" w:type="dxa"/>
              <w:left w:w="16" w:type="dxa"/>
              <w:right w:w="16" w:type="dxa"/>
            </w:tcMar>
            <w:vAlign w:val="center"/>
          </w:tcPr>
          <w:p>
            <w:pPr>
              <w:adjustRightInd w:val="0"/>
              <w:snapToGrid w:val="0"/>
              <w:jc w:val="center"/>
              <w:rPr>
                <w:rFonts w:ascii="宋体" w:hAnsi="宋体" w:eastAsia="宋体" w:cs="宋体"/>
                <w:spacing w:val="-6"/>
                <w:sz w:val="24"/>
                <w:szCs w:val="24"/>
              </w:rPr>
            </w:pPr>
            <w:r>
              <w:rPr>
                <w:rFonts w:hint="eastAsia" w:ascii="宋体" w:hAnsi="宋体" w:eastAsia="宋体" w:cs="宋体"/>
                <w:spacing w:val="-6"/>
                <w:sz w:val="24"/>
                <w:szCs w:val="24"/>
              </w:rPr>
              <w:t>用地（用海）</w:t>
            </w:r>
          </w:p>
          <w:p>
            <w:pPr>
              <w:adjustRightInd w:val="0"/>
              <w:snapToGrid w:val="0"/>
              <w:jc w:val="center"/>
              <w:rPr>
                <w:rFonts w:ascii="宋体" w:hAnsi="宋体" w:eastAsia="宋体" w:cs="宋体"/>
                <w:sz w:val="24"/>
                <w:szCs w:val="24"/>
              </w:rPr>
            </w:pPr>
            <w:r>
              <w:rPr>
                <w:rFonts w:hint="eastAsia" w:ascii="宋体" w:hAnsi="宋体" w:eastAsia="宋体" w:cs="宋体"/>
                <w:spacing w:val="-6"/>
                <w:sz w:val="24"/>
                <w:szCs w:val="24"/>
              </w:rPr>
              <w:t>面积（</w:t>
            </w:r>
            <w:r>
              <w:rPr>
                <w:rFonts w:ascii="Times New Roman" w:hAnsi="Times New Roman" w:eastAsia="宋体" w:cs="Times New Roman"/>
                <w:spacing w:val="-6"/>
                <w:sz w:val="24"/>
                <w:szCs w:val="24"/>
              </w:rPr>
              <w:t>m</w:t>
            </w:r>
            <w:r>
              <w:rPr>
                <w:rFonts w:ascii="Times New Roman" w:hAnsi="Times New Roman" w:eastAsia="宋体" w:cs="Times New Roman"/>
                <w:spacing w:val="-6"/>
                <w:sz w:val="24"/>
                <w:szCs w:val="24"/>
                <w:vertAlign w:val="superscript"/>
              </w:rPr>
              <w:t>2</w:t>
            </w:r>
            <w:r>
              <w:rPr>
                <w:rFonts w:hint="eastAsia" w:ascii="宋体" w:hAnsi="宋体" w:eastAsia="宋体" w:cs="宋体"/>
                <w:spacing w:val="-6"/>
                <w:sz w:val="24"/>
                <w:szCs w:val="24"/>
              </w:rPr>
              <w:t>）</w:t>
            </w:r>
          </w:p>
        </w:tc>
        <w:tc>
          <w:tcPr>
            <w:tcW w:w="1566" w:type="pct"/>
            <w:vAlign w:val="center"/>
          </w:tcPr>
          <w:p>
            <w:pPr>
              <w:adjustRightInd w:val="0"/>
              <w:snapToGrid w:val="0"/>
              <w:jc w:val="center"/>
              <w:rPr>
                <w:rFonts w:ascii="宋体" w:hAnsi="宋体" w:eastAsia="宋体" w:cs="宋体"/>
                <w:sz w:val="24"/>
                <w:szCs w:val="24"/>
              </w:rPr>
            </w:pPr>
            <w:r>
              <w:rPr>
                <w:rFonts w:hint="eastAsia" w:ascii="Times New Roman" w:hAnsi="Times New Roman" w:eastAsia="宋体" w:cs="Times New Roman"/>
                <w:sz w:val="24"/>
                <w:szCs w:val="24"/>
              </w:rPr>
              <w:t>7</w:t>
            </w:r>
            <w:r>
              <w:rPr>
                <w:rFonts w:ascii="Times New Roman" w:hAnsi="Times New Roman" w:eastAsia="宋体" w:cs="Times New Roman"/>
                <w:sz w:val="24"/>
                <w:szCs w:val="24"/>
              </w:rPr>
              <w:t>070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025" w:type="pct"/>
            <w:vAlign w:val="center"/>
          </w:tcPr>
          <w:p>
            <w:pPr>
              <w:autoSpaceDE w:val="0"/>
              <w:autoSpaceDN w:val="0"/>
              <w:adjustRightInd w:val="0"/>
              <w:snapToGrid w:val="0"/>
              <w:jc w:val="center"/>
              <w:rPr>
                <w:rFonts w:ascii="宋体" w:hAnsi="宋体" w:eastAsia="宋体" w:cs="宋体"/>
                <w:kern w:val="0"/>
                <w:sz w:val="24"/>
                <w:szCs w:val="24"/>
              </w:rPr>
            </w:pPr>
            <w:r>
              <w:rPr>
                <w:rFonts w:hint="eastAsia" w:ascii="宋体" w:hAnsi="宋体" w:eastAsia="宋体" w:cs="宋体"/>
                <w:kern w:val="0"/>
                <w:sz w:val="24"/>
                <w:szCs w:val="24"/>
              </w:rPr>
              <w:t>专项评价设置情况</w:t>
            </w:r>
          </w:p>
        </w:tc>
        <w:tc>
          <w:tcPr>
            <w:tcW w:w="3975" w:type="pct"/>
            <w:gridSpan w:val="3"/>
            <w:vAlign w:val="center"/>
          </w:tcPr>
          <w:p>
            <w:pPr>
              <w:autoSpaceDE w:val="0"/>
              <w:autoSpaceDN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根据《建设项目环境影响报告表编制技术指南（污染影响类）（试行）》专项评价设置原则要求，本项目分析判定如下。</w:t>
            </w:r>
          </w:p>
          <w:p>
            <w:pPr>
              <w:keepNext/>
              <w:autoSpaceDE w:val="0"/>
              <w:autoSpaceDN w:val="0"/>
              <w:spacing w:line="360" w:lineRule="auto"/>
              <w:jc w:val="center"/>
            </w:pPr>
            <w:r>
              <w:rPr>
                <w:rFonts w:hint="eastAsia" w:ascii="Times New Roman" w:hAnsi="Times New Roman" w:eastAsia="宋体" w:cs="宋体"/>
                <w:b/>
                <w:bCs/>
                <w:kern w:val="0"/>
                <w:sz w:val="24"/>
                <w:szCs w:val="24"/>
              </w:rPr>
              <w:t>表1</w:t>
            </w:r>
            <w:r>
              <w:rPr>
                <w:rFonts w:ascii="Times New Roman" w:hAnsi="Times New Roman" w:eastAsia="宋体" w:cs="宋体"/>
                <w:b/>
                <w:bCs/>
                <w:kern w:val="0"/>
                <w:sz w:val="24"/>
                <w:szCs w:val="24"/>
              </w:rPr>
              <w:t>-1</w:t>
            </w:r>
            <w:r>
              <w:rPr>
                <w:rFonts w:hint="eastAsia" w:ascii="Times New Roman" w:hAnsi="Times New Roman" w:eastAsia="宋体" w:cs="宋体"/>
                <w:b/>
                <w:bCs/>
                <w:kern w:val="0"/>
                <w:sz w:val="24"/>
                <w:szCs w:val="24"/>
              </w:rPr>
              <w:t>专项评价设置分析判定表</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3126"/>
              <w:gridCol w:w="1848"/>
              <w:gridCol w:w="8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pct"/>
                </w:tcPr>
                <w:p>
                  <w:pPr>
                    <w:autoSpaceDE w:val="0"/>
                    <w:autoSpaceDN w:val="0"/>
                    <w:jc w:val="center"/>
                    <w:rPr>
                      <w:rFonts w:ascii="Times New Roman" w:hAnsi="Times New Roman" w:eastAsia="宋体" w:cs="宋体"/>
                      <w:b/>
                      <w:bCs/>
                      <w:kern w:val="0"/>
                      <w:szCs w:val="21"/>
                    </w:rPr>
                  </w:pPr>
                  <w:r>
                    <w:rPr>
                      <w:rFonts w:hint="eastAsia" w:ascii="Times New Roman" w:hAnsi="Times New Roman" w:eastAsia="宋体" w:cs="宋体"/>
                      <w:b/>
                      <w:bCs/>
                      <w:kern w:val="0"/>
                      <w:szCs w:val="21"/>
                    </w:rPr>
                    <w:t>专项评价的类别</w:t>
                  </w:r>
                </w:p>
              </w:tc>
              <w:tc>
                <w:tcPr>
                  <w:tcW w:w="2237" w:type="pct"/>
                  <w:vAlign w:val="center"/>
                </w:tcPr>
                <w:p>
                  <w:pPr>
                    <w:autoSpaceDE w:val="0"/>
                    <w:autoSpaceDN w:val="0"/>
                    <w:jc w:val="center"/>
                    <w:rPr>
                      <w:rFonts w:ascii="Times New Roman" w:hAnsi="Times New Roman" w:eastAsia="宋体" w:cs="宋体"/>
                      <w:b/>
                      <w:bCs/>
                      <w:kern w:val="0"/>
                      <w:szCs w:val="21"/>
                    </w:rPr>
                  </w:pPr>
                  <w:r>
                    <w:rPr>
                      <w:rFonts w:hint="eastAsia" w:ascii="Times New Roman" w:hAnsi="Times New Roman" w:eastAsia="宋体" w:cs="宋体"/>
                      <w:b/>
                      <w:bCs/>
                      <w:kern w:val="0"/>
                      <w:szCs w:val="21"/>
                    </w:rPr>
                    <w:t>涉及项目类别</w:t>
                  </w:r>
                </w:p>
              </w:tc>
              <w:tc>
                <w:tcPr>
                  <w:tcW w:w="1323" w:type="pct"/>
                  <w:vAlign w:val="center"/>
                </w:tcPr>
                <w:p>
                  <w:pPr>
                    <w:autoSpaceDE w:val="0"/>
                    <w:autoSpaceDN w:val="0"/>
                    <w:jc w:val="center"/>
                    <w:rPr>
                      <w:rFonts w:ascii="Times New Roman" w:hAnsi="Times New Roman" w:eastAsia="宋体" w:cs="宋体"/>
                      <w:b/>
                      <w:bCs/>
                      <w:kern w:val="0"/>
                      <w:szCs w:val="21"/>
                    </w:rPr>
                  </w:pPr>
                  <w:r>
                    <w:rPr>
                      <w:rFonts w:hint="eastAsia" w:ascii="Times New Roman" w:hAnsi="Times New Roman" w:eastAsia="宋体" w:cs="宋体"/>
                      <w:b/>
                      <w:bCs/>
                      <w:kern w:val="0"/>
                      <w:szCs w:val="21"/>
                    </w:rPr>
                    <w:t>本项目情况</w:t>
                  </w:r>
                </w:p>
              </w:tc>
              <w:tc>
                <w:tcPr>
                  <w:tcW w:w="604" w:type="pct"/>
                  <w:vAlign w:val="center"/>
                </w:tcPr>
                <w:p>
                  <w:pPr>
                    <w:autoSpaceDE w:val="0"/>
                    <w:autoSpaceDN w:val="0"/>
                    <w:jc w:val="center"/>
                    <w:rPr>
                      <w:rFonts w:ascii="Times New Roman" w:hAnsi="Times New Roman" w:eastAsia="宋体" w:cs="宋体"/>
                      <w:b/>
                      <w:bCs/>
                      <w:kern w:val="0"/>
                      <w:szCs w:val="21"/>
                    </w:rPr>
                  </w:pPr>
                  <w:r>
                    <w:rPr>
                      <w:rFonts w:hint="eastAsia" w:ascii="Times New Roman" w:hAnsi="Times New Roman" w:eastAsia="宋体" w:cs="宋体"/>
                      <w:b/>
                      <w:bCs/>
                      <w:kern w:val="0"/>
                      <w:szCs w:val="21"/>
                    </w:rPr>
                    <w:t>判定结果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pct"/>
                  <w:vAlign w:val="center"/>
                </w:tcPr>
                <w:p>
                  <w:pPr>
                    <w:autoSpaceDE w:val="0"/>
                    <w:autoSpaceDN w:val="0"/>
                    <w:jc w:val="center"/>
                    <w:rPr>
                      <w:rFonts w:ascii="Times New Roman" w:hAnsi="Times New Roman" w:eastAsia="宋体" w:cs="宋体"/>
                      <w:kern w:val="0"/>
                      <w:szCs w:val="21"/>
                    </w:rPr>
                  </w:pPr>
                  <w:r>
                    <w:rPr>
                      <w:rFonts w:ascii="Times New Roman" w:hAnsi="Times New Roman" w:eastAsia="宋体" w:cs="宋体"/>
                      <w:kern w:val="0"/>
                      <w:szCs w:val="21"/>
                    </w:rPr>
                    <w:t>大气</w:t>
                  </w:r>
                </w:p>
              </w:tc>
              <w:tc>
                <w:tcPr>
                  <w:tcW w:w="2237" w:type="pct"/>
                  <w:vAlign w:val="center"/>
                </w:tcPr>
                <w:p>
                  <w:pPr>
                    <w:autoSpaceDE w:val="0"/>
                    <w:autoSpaceDN w:val="0"/>
                    <w:jc w:val="left"/>
                    <w:rPr>
                      <w:rFonts w:ascii="Times New Roman" w:hAnsi="Times New Roman" w:eastAsia="宋体" w:cs="宋体"/>
                      <w:kern w:val="0"/>
                      <w:szCs w:val="21"/>
                    </w:rPr>
                  </w:pPr>
                  <w:r>
                    <w:rPr>
                      <w:rFonts w:ascii="Times New Roman" w:hAnsi="Times New Roman" w:eastAsia="宋体" w:cs="宋体"/>
                      <w:kern w:val="0"/>
                      <w:szCs w:val="21"/>
                    </w:rPr>
                    <w:t>排放废气含有毒有害污染物</w:t>
                  </w:r>
                  <w:r>
                    <w:rPr>
                      <w:rFonts w:ascii="Times New Roman" w:hAnsi="Times New Roman" w:eastAsia="宋体" w:cs="宋体"/>
                      <w:kern w:val="0"/>
                      <w:szCs w:val="21"/>
                      <w:vertAlign w:val="superscript"/>
                    </w:rPr>
                    <w:t>1</w:t>
                  </w:r>
                  <w:r>
                    <w:rPr>
                      <w:rFonts w:ascii="Times New Roman" w:hAnsi="Times New Roman" w:eastAsia="宋体" w:cs="宋体"/>
                      <w:kern w:val="0"/>
                      <w:szCs w:val="21"/>
                    </w:rPr>
                    <w:t>、二噁英、苯并芘、氰化物、氯气且厂界外500米范围内有环境空气保护目标</w:t>
                  </w:r>
                  <w:r>
                    <w:rPr>
                      <w:rFonts w:ascii="Times New Roman" w:hAnsi="Times New Roman" w:eastAsia="宋体" w:cs="宋体"/>
                      <w:kern w:val="0"/>
                      <w:szCs w:val="21"/>
                      <w:vertAlign w:val="superscript"/>
                    </w:rPr>
                    <w:t>2</w:t>
                  </w:r>
                  <w:r>
                    <w:rPr>
                      <w:rFonts w:ascii="Times New Roman" w:hAnsi="Times New Roman" w:eastAsia="宋体" w:cs="宋体"/>
                      <w:kern w:val="0"/>
                      <w:szCs w:val="21"/>
                    </w:rPr>
                    <w:t>的建设项目</w:t>
                  </w:r>
                </w:p>
              </w:tc>
              <w:tc>
                <w:tcPr>
                  <w:tcW w:w="1323" w:type="pct"/>
                  <w:vAlign w:val="center"/>
                </w:tcPr>
                <w:p>
                  <w:pPr>
                    <w:autoSpaceDE w:val="0"/>
                    <w:autoSpaceDN w:val="0"/>
                    <w:jc w:val="center"/>
                    <w:rPr>
                      <w:rFonts w:ascii="Times New Roman" w:hAnsi="Times New Roman" w:eastAsia="宋体" w:cs="宋体"/>
                      <w:kern w:val="0"/>
                      <w:szCs w:val="21"/>
                    </w:rPr>
                  </w:pPr>
                  <w:r>
                    <w:rPr>
                      <w:rFonts w:hint="eastAsia" w:ascii="Times New Roman" w:hAnsi="Times New Roman" w:eastAsia="宋体" w:cs="宋体"/>
                      <w:kern w:val="0"/>
                      <w:szCs w:val="21"/>
                    </w:rPr>
                    <w:t>本项目不涉及相关有毒有害污染物</w:t>
                  </w:r>
                </w:p>
              </w:tc>
              <w:tc>
                <w:tcPr>
                  <w:tcW w:w="604" w:type="pct"/>
                  <w:vAlign w:val="center"/>
                </w:tcPr>
                <w:p>
                  <w:pPr>
                    <w:autoSpaceDE w:val="0"/>
                    <w:autoSpaceDN w:val="0"/>
                    <w:jc w:val="center"/>
                    <w:rPr>
                      <w:rFonts w:ascii="Times New Roman" w:hAnsi="Times New Roman" w:eastAsia="宋体" w:cs="宋体"/>
                      <w:kern w:val="0"/>
                      <w:szCs w:val="21"/>
                    </w:rPr>
                  </w:pPr>
                  <w:r>
                    <w:rPr>
                      <w:rFonts w:hint="eastAsia" w:ascii="Times New Roman" w:hAnsi="Times New Roman" w:eastAsia="宋体" w:cs="宋体"/>
                      <w:kern w:val="0"/>
                      <w:szCs w:val="21"/>
                    </w:rPr>
                    <w:t>无需设置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pct"/>
                  <w:vAlign w:val="center"/>
                </w:tcPr>
                <w:p>
                  <w:pPr>
                    <w:autoSpaceDE w:val="0"/>
                    <w:autoSpaceDN w:val="0"/>
                    <w:jc w:val="center"/>
                    <w:rPr>
                      <w:rFonts w:ascii="Times New Roman" w:hAnsi="Times New Roman" w:eastAsia="宋体" w:cs="宋体"/>
                      <w:kern w:val="0"/>
                      <w:szCs w:val="21"/>
                    </w:rPr>
                  </w:pPr>
                  <w:r>
                    <w:rPr>
                      <w:rFonts w:ascii="Times New Roman" w:hAnsi="Times New Roman" w:eastAsia="宋体" w:cs="宋体"/>
                      <w:kern w:val="0"/>
                      <w:szCs w:val="21"/>
                    </w:rPr>
                    <w:t>地表水</w:t>
                  </w:r>
                </w:p>
              </w:tc>
              <w:tc>
                <w:tcPr>
                  <w:tcW w:w="2237" w:type="pct"/>
                  <w:vAlign w:val="center"/>
                </w:tcPr>
                <w:p>
                  <w:pPr>
                    <w:autoSpaceDE w:val="0"/>
                    <w:autoSpaceDN w:val="0"/>
                    <w:rPr>
                      <w:rFonts w:ascii="Times New Roman" w:hAnsi="Times New Roman" w:eastAsia="宋体" w:cs="宋体"/>
                      <w:kern w:val="0"/>
                      <w:szCs w:val="21"/>
                    </w:rPr>
                  </w:pPr>
                  <w:r>
                    <w:rPr>
                      <w:rFonts w:ascii="Times New Roman" w:hAnsi="Times New Roman" w:eastAsia="宋体" w:cs="宋体"/>
                      <w:kern w:val="0"/>
                      <w:szCs w:val="21"/>
                    </w:rPr>
                    <w:t>新增工业废水直排建设项目（槽罐车外送污水处理厂的除外）</w:t>
                  </w:r>
                </w:p>
              </w:tc>
              <w:tc>
                <w:tcPr>
                  <w:tcW w:w="1323" w:type="pct"/>
                  <w:vAlign w:val="center"/>
                </w:tcPr>
                <w:p>
                  <w:pPr>
                    <w:autoSpaceDE w:val="0"/>
                    <w:autoSpaceDN w:val="0"/>
                    <w:jc w:val="center"/>
                    <w:rPr>
                      <w:rFonts w:ascii="Times New Roman" w:hAnsi="Times New Roman" w:eastAsia="宋体" w:cs="宋体"/>
                      <w:color w:val="FF0000"/>
                      <w:kern w:val="0"/>
                      <w:szCs w:val="21"/>
                    </w:rPr>
                  </w:pPr>
                  <w:r>
                    <w:rPr>
                      <w:rFonts w:hint="eastAsia" w:ascii="Times New Roman" w:hAnsi="Times New Roman" w:eastAsia="宋体" w:cs="宋体"/>
                      <w:kern w:val="0"/>
                      <w:szCs w:val="21"/>
                    </w:rPr>
                    <w:t>本项目无生产废水外排，生活废水经过化粪池预处理后用于周边农灌</w:t>
                  </w:r>
                </w:p>
              </w:tc>
              <w:tc>
                <w:tcPr>
                  <w:tcW w:w="604" w:type="pct"/>
                  <w:vAlign w:val="center"/>
                </w:tcPr>
                <w:p>
                  <w:pPr>
                    <w:autoSpaceDE w:val="0"/>
                    <w:autoSpaceDN w:val="0"/>
                    <w:jc w:val="center"/>
                    <w:rPr>
                      <w:rFonts w:ascii="Times New Roman" w:hAnsi="Times New Roman" w:eastAsia="宋体" w:cs="宋体"/>
                      <w:kern w:val="0"/>
                      <w:szCs w:val="21"/>
                    </w:rPr>
                  </w:pPr>
                  <w:r>
                    <w:rPr>
                      <w:rFonts w:hint="eastAsia" w:ascii="Times New Roman" w:hAnsi="Times New Roman" w:eastAsia="宋体" w:cs="宋体"/>
                      <w:kern w:val="0"/>
                      <w:szCs w:val="21"/>
                    </w:rPr>
                    <w:t>无需设置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pct"/>
                  <w:vAlign w:val="center"/>
                </w:tcPr>
                <w:p>
                  <w:pPr>
                    <w:autoSpaceDE w:val="0"/>
                    <w:autoSpaceDN w:val="0"/>
                    <w:jc w:val="center"/>
                    <w:rPr>
                      <w:rFonts w:ascii="Times New Roman" w:hAnsi="Times New Roman" w:eastAsia="宋体" w:cs="宋体"/>
                      <w:kern w:val="0"/>
                      <w:szCs w:val="21"/>
                    </w:rPr>
                  </w:pPr>
                  <w:r>
                    <w:rPr>
                      <w:rFonts w:hint="eastAsia" w:ascii="Times New Roman" w:hAnsi="Times New Roman" w:eastAsia="宋体" w:cs="宋体"/>
                      <w:kern w:val="0"/>
                      <w:szCs w:val="21"/>
                    </w:rPr>
                    <w:t>地下水</w:t>
                  </w:r>
                </w:p>
              </w:tc>
              <w:tc>
                <w:tcPr>
                  <w:tcW w:w="2237" w:type="pct"/>
                </w:tcPr>
                <w:p>
                  <w:pPr>
                    <w:autoSpaceDE w:val="0"/>
                    <w:autoSpaceDN w:val="0"/>
                    <w:jc w:val="left"/>
                    <w:rPr>
                      <w:rFonts w:ascii="Times New Roman" w:hAnsi="Times New Roman" w:eastAsia="宋体" w:cs="宋体"/>
                      <w:kern w:val="0"/>
                      <w:szCs w:val="21"/>
                    </w:rPr>
                  </w:pPr>
                  <w:r>
                    <w:rPr>
                      <w:rFonts w:ascii="Times New Roman" w:hAnsi="Times New Roman" w:eastAsia="宋体" w:cs="宋体"/>
                      <w:kern w:val="0"/>
                      <w:szCs w:val="21"/>
                    </w:rPr>
                    <w:t>地下水原则上不开展专项评价，涉及集中式饮用水水源和热水、矿泉水、温泉等特殊地下水资源保护区的开展地下水专项评价工作。</w:t>
                  </w:r>
                </w:p>
              </w:tc>
              <w:tc>
                <w:tcPr>
                  <w:tcW w:w="1323" w:type="pct"/>
                  <w:vAlign w:val="center"/>
                </w:tcPr>
                <w:p>
                  <w:pPr>
                    <w:autoSpaceDE w:val="0"/>
                    <w:autoSpaceDN w:val="0"/>
                    <w:jc w:val="center"/>
                    <w:rPr>
                      <w:rFonts w:ascii="Times New Roman" w:hAnsi="Times New Roman" w:eastAsia="宋体" w:cs="宋体"/>
                      <w:kern w:val="0"/>
                      <w:szCs w:val="21"/>
                    </w:rPr>
                  </w:pPr>
                  <w:r>
                    <w:rPr>
                      <w:rFonts w:hint="eastAsia" w:ascii="Times New Roman" w:hAnsi="Times New Roman" w:eastAsia="宋体" w:cs="宋体"/>
                      <w:kern w:val="0"/>
                      <w:szCs w:val="21"/>
                    </w:rPr>
                    <w:t>本项目不涉及地下水资源保护区</w:t>
                  </w:r>
                </w:p>
              </w:tc>
              <w:tc>
                <w:tcPr>
                  <w:tcW w:w="604" w:type="pct"/>
                  <w:vAlign w:val="center"/>
                </w:tcPr>
                <w:p>
                  <w:pPr>
                    <w:autoSpaceDE w:val="0"/>
                    <w:autoSpaceDN w:val="0"/>
                    <w:jc w:val="center"/>
                    <w:rPr>
                      <w:rFonts w:ascii="Times New Roman" w:hAnsi="Times New Roman" w:eastAsia="宋体" w:cs="宋体"/>
                      <w:kern w:val="0"/>
                      <w:szCs w:val="21"/>
                    </w:rPr>
                  </w:pPr>
                  <w:r>
                    <w:rPr>
                      <w:rFonts w:hint="eastAsia" w:ascii="Times New Roman" w:hAnsi="Times New Roman" w:eastAsia="宋体" w:cs="宋体"/>
                      <w:kern w:val="0"/>
                      <w:szCs w:val="21"/>
                    </w:rPr>
                    <w:t>无需设置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pct"/>
                  <w:vAlign w:val="center"/>
                </w:tcPr>
                <w:p>
                  <w:pPr>
                    <w:autoSpaceDE w:val="0"/>
                    <w:autoSpaceDN w:val="0"/>
                    <w:jc w:val="center"/>
                    <w:rPr>
                      <w:rFonts w:ascii="Times New Roman" w:hAnsi="Times New Roman" w:eastAsia="宋体" w:cs="宋体"/>
                      <w:kern w:val="0"/>
                      <w:szCs w:val="21"/>
                    </w:rPr>
                  </w:pPr>
                  <w:r>
                    <w:rPr>
                      <w:rFonts w:ascii="Times New Roman" w:hAnsi="Times New Roman" w:eastAsia="宋体" w:cs="宋体"/>
                      <w:kern w:val="0"/>
                      <w:szCs w:val="21"/>
                    </w:rPr>
                    <w:t>环境风险</w:t>
                  </w:r>
                </w:p>
              </w:tc>
              <w:tc>
                <w:tcPr>
                  <w:tcW w:w="2237" w:type="pct"/>
                </w:tcPr>
                <w:p>
                  <w:pPr>
                    <w:autoSpaceDE w:val="0"/>
                    <w:autoSpaceDN w:val="0"/>
                    <w:jc w:val="left"/>
                    <w:rPr>
                      <w:rFonts w:ascii="Times New Roman" w:hAnsi="Times New Roman" w:eastAsia="宋体" w:cs="宋体"/>
                      <w:kern w:val="0"/>
                      <w:szCs w:val="21"/>
                    </w:rPr>
                  </w:pPr>
                  <w:r>
                    <w:rPr>
                      <w:rFonts w:ascii="Times New Roman" w:hAnsi="Times New Roman" w:eastAsia="宋体" w:cs="宋体"/>
                      <w:kern w:val="0"/>
                      <w:szCs w:val="21"/>
                    </w:rPr>
                    <w:t>有毒有害和易燃易爆危险物质存储量超过临界量3的建设项目</w:t>
                  </w:r>
                </w:p>
              </w:tc>
              <w:tc>
                <w:tcPr>
                  <w:tcW w:w="1323" w:type="pct"/>
                  <w:vAlign w:val="center"/>
                </w:tcPr>
                <w:p>
                  <w:pPr>
                    <w:autoSpaceDE w:val="0"/>
                    <w:autoSpaceDN w:val="0"/>
                    <w:jc w:val="center"/>
                    <w:rPr>
                      <w:rFonts w:ascii="Times New Roman" w:hAnsi="Times New Roman" w:eastAsia="宋体" w:cs="宋体"/>
                      <w:kern w:val="0"/>
                      <w:szCs w:val="21"/>
                    </w:rPr>
                  </w:pPr>
                  <w:r>
                    <w:rPr>
                      <w:rFonts w:hint="eastAsia" w:ascii="Times New Roman" w:hAnsi="Times New Roman" w:eastAsia="宋体" w:cs="宋体"/>
                      <w:kern w:val="0"/>
                      <w:szCs w:val="21"/>
                    </w:rPr>
                    <w:t>本项目不涉及危险物质存储</w:t>
                  </w:r>
                </w:p>
              </w:tc>
              <w:tc>
                <w:tcPr>
                  <w:tcW w:w="604" w:type="pct"/>
                  <w:vAlign w:val="center"/>
                </w:tcPr>
                <w:p>
                  <w:pPr>
                    <w:autoSpaceDE w:val="0"/>
                    <w:autoSpaceDN w:val="0"/>
                    <w:jc w:val="center"/>
                    <w:rPr>
                      <w:rFonts w:ascii="Times New Roman" w:hAnsi="Times New Roman" w:eastAsia="宋体" w:cs="宋体"/>
                      <w:kern w:val="0"/>
                      <w:szCs w:val="21"/>
                    </w:rPr>
                  </w:pPr>
                  <w:r>
                    <w:rPr>
                      <w:rFonts w:hint="eastAsia" w:ascii="Times New Roman" w:hAnsi="Times New Roman" w:eastAsia="宋体" w:cs="宋体"/>
                      <w:kern w:val="0"/>
                      <w:szCs w:val="21"/>
                    </w:rPr>
                    <w:t>无需设置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pct"/>
                  <w:vAlign w:val="center"/>
                </w:tcPr>
                <w:p>
                  <w:pPr>
                    <w:autoSpaceDE w:val="0"/>
                    <w:autoSpaceDN w:val="0"/>
                    <w:jc w:val="center"/>
                    <w:rPr>
                      <w:rFonts w:ascii="Times New Roman" w:hAnsi="Times New Roman" w:eastAsia="宋体" w:cs="宋体"/>
                      <w:kern w:val="0"/>
                      <w:szCs w:val="21"/>
                    </w:rPr>
                  </w:pPr>
                  <w:r>
                    <w:rPr>
                      <w:rFonts w:ascii="Times New Roman" w:hAnsi="Times New Roman" w:eastAsia="宋体" w:cs="宋体"/>
                      <w:kern w:val="0"/>
                      <w:szCs w:val="21"/>
                    </w:rPr>
                    <w:t>生态</w:t>
                  </w:r>
                </w:p>
              </w:tc>
              <w:tc>
                <w:tcPr>
                  <w:tcW w:w="2237" w:type="pct"/>
                </w:tcPr>
                <w:p>
                  <w:pPr>
                    <w:autoSpaceDE w:val="0"/>
                    <w:autoSpaceDN w:val="0"/>
                    <w:jc w:val="left"/>
                    <w:rPr>
                      <w:rFonts w:ascii="Times New Roman" w:hAnsi="Times New Roman" w:eastAsia="宋体" w:cs="宋体"/>
                      <w:kern w:val="0"/>
                      <w:szCs w:val="21"/>
                    </w:rPr>
                  </w:pPr>
                  <w:r>
                    <w:rPr>
                      <w:rFonts w:ascii="Times New Roman" w:hAnsi="Times New Roman" w:eastAsia="宋体" w:cs="宋体"/>
                      <w:kern w:val="0"/>
                      <w:szCs w:val="21"/>
                    </w:rPr>
                    <w:t>取水口下游500米范围内有重要水生生物的自然产卵场、索饵场、越冬场和洄游通道的新增河道取水的污染类建设项目</w:t>
                  </w:r>
                </w:p>
              </w:tc>
              <w:tc>
                <w:tcPr>
                  <w:tcW w:w="1323" w:type="pct"/>
                  <w:vAlign w:val="center"/>
                </w:tcPr>
                <w:p>
                  <w:pPr>
                    <w:autoSpaceDE w:val="0"/>
                    <w:autoSpaceDN w:val="0"/>
                    <w:jc w:val="center"/>
                    <w:rPr>
                      <w:rFonts w:ascii="Times New Roman" w:hAnsi="Times New Roman" w:eastAsia="宋体" w:cs="宋体"/>
                      <w:kern w:val="0"/>
                      <w:szCs w:val="21"/>
                    </w:rPr>
                  </w:pPr>
                  <w:r>
                    <w:rPr>
                      <w:rFonts w:ascii="Times New Roman" w:hAnsi="Times New Roman" w:eastAsia="宋体" w:cs="宋体"/>
                      <w:kern w:val="0"/>
                      <w:szCs w:val="21"/>
                    </w:rPr>
                    <w:t>本项目无取水口</w:t>
                  </w:r>
                </w:p>
              </w:tc>
              <w:tc>
                <w:tcPr>
                  <w:tcW w:w="604" w:type="pct"/>
                  <w:vAlign w:val="center"/>
                </w:tcPr>
                <w:p>
                  <w:pPr>
                    <w:autoSpaceDE w:val="0"/>
                    <w:autoSpaceDN w:val="0"/>
                    <w:jc w:val="center"/>
                    <w:rPr>
                      <w:rFonts w:ascii="Times New Roman" w:hAnsi="Times New Roman" w:eastAsia="宋体" w:cs="宋体"/>
                      <w:kern w:val="0"/>
                      <w:szCs w:val="21"/>
                    </w:rPr>
                  </w:pPr>
                  <w:r>
                    <w:rPr>
                      <w:rFonts w:hint="eastAsia" w:ascii="Times New Roman" w:hAnsi="Times New Roman" w:eastAsia="宋体" w:cs="宋体"/>
                      <w:kern w:val="0"/>
                      <w:szCs w:val="21"/>
                    </w:rPr>
                    <w:t>无需设置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pct"/>
                  <w:vAlign w:val="center"/>
                </w:tcPr>
                <w:p>
                  <w:pPr>
                    <w:autoSpaceDE w:val="0"/>
                    <w:autoSpaceDN w:val="0"/>
                    <w:jc w:val="center"/>
                    <w:rPr>
                      <w:rFonts w:ascii="Times New Roman" w:hAnsi="Times New Roman" w:eastAsia="宋体" w:cs="宋体"/>
                      <w:kern w:val="0"/>
                      <w:szCs w:val="21"/>
                    </w:rPr>
                  </w:pPr>
                  <w:r>
                    <w:rPr>
                      <w:rFonts w:hint="eastAsia" w:ascii="Times New Roman" w:hAnsi="Times New Roman" w:eastAsia="宋体" w:cs="宋体"/>
                      <w:kern w:val="0"/>
                      <w:szCs w:val="21"/>
                    </w:rPr>
                    <w:t>土壤、噪声环境</w:t>
                  </w:r>
                </w:p>
              </w:tc>
              <w:tc>
                <w:tcPr>
                  <w:tcW w:w="2237" w:type="pct"/>
                  <w:vAlign w:val="center"/>
                </w:tcPr>
                <w:p>
                  <w:pPr>
                    <w:autoSpaceDE w:val="0"/>
                    <w:autoSpaceDN w:val="0"/>
                    <w:jc w:val="left"/>
                    <w:rPr>
                      <w:rFonts w:ascii="Times New Roman" w:hAnsi="Times New Roman" w:eastAsia="宋体" w:cs="宋体"/>
                      <w:kern w:val="0"/>
                      <w:szCs w:val="21"/>
                    </w:rPr>
                  </w:pPr>
                  <w:r>
                    <w:rPr>
                      <w:rFonts w:hint="eastAsia" w:ascii="Times New Roman" w:hAnsi="Times New Roman" w:eastAsia="宋体" w:cs="宋体"/>
                      <w:kern w:val="0"/>
                      <w:szCs w:val="21"/>
                    </w:rPr>
                    <w:t>土壤、声环境不开展专项评价</w:t>
                  </w:r>
                </w:p>
              </w:tc>
              <w:tc>
                <w:tcPr>
                  <w:tcW w:w="1323" w:type="pct"/>
                  <w:vAlign w:val="center"/>
                </w:tcPr>
                <w:p>
                  <w:pPr>
                    <w:autoSpaceDE w:val="0"/>
                    <w:autoSpaceDN w:val="0"/>
                    <w:jc w:val="center"/>
                    <w:rPr>
                      <w:rFonts w:ascii="Times New Roman" w:hAnsi="Times New Roman" w:eastAsia="宋体" w:cs="宋体"/>
                      <w:kern w:val="0"/>
                      <w:szCs w:val="21"/>
                    </w:rPr>
                  </w:pPr>
                  <w:r>
                    <w:rPr>
                      <w:rFonts w:hint="eastAsia" w:ascii="Times New Roman" w:hAnsi="Times New Roman" w:eastAsia="宋体" w:cs="宋体"/>
                      <w:kern w:val="0"/>
                      <w:szCs w:val="21"/>
                    </w:rPr>
                    <w:t>无需开展</w:t>
                  </w:r>
                </w:p>
              </w:tc>
              <w:tc>
                <w:tcPr>
                  <w:tcW w:w="604" w:type="pct"/>
                  <w:vAlign w:val="center"/>
                </w:tcPr>
                <w:p>
                  <w:pPr>
                    <w:autoSpaceDE w:val="0"/>
                    <w:autoSpaceDN w:val="0"/>
                    <w:jc w:val="center"/>
                    <w:rPr>
                      <w:rFonts w:ascii="Times New Roman" w:hAnsi="Times New Roman" w:eastAsia="宋体" w:cs="宋体"/>
                      <w:kern w:val="0"/>
                      <w:szCs w:val="21"/>
                    </w:rPr>
                  </w:pPr>
                  <w:r>
                    <w:rPr>
                      <w:rFonts w:hint="eastAsia" w:ascii="Times New Roman" w:hAnsi="Times New Roman" w:eastAsia="宋体" w:cs="宋体"/>
                      <w:kern w:val="0"/>
                      <w:szCs w:val="21"/>
                    </w:rPr>
                    <w:t>无需设置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pct"/>
                  <w:vAlign w:val="center"/>
                </w:tcPr>
                <w:p>
                  <w:pPr>
                    <w:autoSpaceDE w:val="0"/>
                    <w:autoSpaceDN w:val="0"/>
                    <w:jc w:val="center"/>
                    <w:rPr>
                      <w:rFonts w:ascii="Times New Roman" w:hAnsi="Times New Roman" w:eastAsia="宋体" w:cs="宋体"/>
                      <w:kern w:val="0"/>
                      <w:szCs w:val="21"/>
                    </w:rPr>
                  </w:pPr>
                  <w:r>
                    <w:rPr>
                      <w:rFonts w:ascii="Times New Roman" w:hAnsi="Times New Roman" w:eastAsia="宋体" w:cs="宋体"/>
                      <w:kern w:val="0"/>
                      <w:szCs w:val="21"/>
                    </w:rPr>
                    <w:t>海洋</w:t>
                  </w:r>
                </w:p>
              </w:tc>
              <w:tc>
                <w:tcPr>
                  <w:tcW w:w="2237" w:type="pct"/>
                </w:tcPr>
                <w:p>
                  <w:pPr>
                    <w:autoSpaceDE w:val="0"/>
                    <w:autoSpaceDN w:val="0"/>
                    <w:jc w:val="left"/>
                    <w:rPr>
                      <w:rFonts w:ascii="Times New Roman" w:hAnsi="Times New Roman" w:eastAsia="宋体" w:cs="宋体"/>
                      <w:kern w:val="0"/>
                      <w:szCs w:val="21"/>
                    </w:rPr>
                  </w:pPr>
                  <w:r>
                    <w:rPr>
                      <w:rFonts w:ascii="Times New Roman" w:hAnsi="Times New Roman" w:eastAsia="宋体" w:cs="宋体"/>
                      <w:kern w:val="0"/>
                      <w:szCs w:val="21"/>
                    </w:rPr>
                    <w:t>直接向海洋排放污染物的海洋工程建设项目</w:t>
                  </w:r>
                </w:p>
              </w:tc>
              <w:tc>
                <w:tcPr>
                  <w:tcW w:w="1323" w:type="pct"/>
                  <w:vAlign w:val="center"/>
                </w:tcPr>
                <w:p>
                  <w:pPr>
                    <w:autoSpaceDE w:val="0"/>
                    <w:autoSpaceDN w:val="0"/>
                    <w:jc w:val="center"/>
                    <w:rPr>
                      <w:rFonts w:ascii="Times New Roman" w:hAnsi="Times New Roman" w:eastAsia="宋体" w:cs="宋体"/>
                      <w:kern w:val="0"/>
                      <w:szCs w:val="21"/>
                    </w:rPr>
                  </w:pPr>
                  <w:r>
                    <w:rPr>
                      <w:rFonts w:ascii="Times New Roman" w:hAnsi="Times New Roman" w:eastAsia="宋体" w:cs="宋体"/>
                      <w:kern w:val="0"/>
                      <w:szCs w:val="21"/>
                    </w:rPr>
                    <w:t>无相关工程</w:t>
                  </w:r>
                </w:p>
              </w:tc>
              <w:tc>
                <w:tcPr>
                  <w:tcW w:w="604" w:type="pct"/>
                  <w:vAlign w:val="center"/>
                </w:tcPr>
                <w:p>
                  <w:pPr>
                    <w:autoSpaceDE w:val="0"/>
                    <w:autoSpaceDN w:val="0"/>
                    <w:jc w:val="center"/>
                    <w:rPr>
                      <w:rFonts w:ascii="Times New Roman" w:hAnsi="Times New Roman" w:eastAsia="宋体" w:cs="宋体"/>
                      <w:kern w:val="0"/>
                      <w:szCs w:val="21"/>
                    </w:rPr>
                  </w:pPr>
                  <w:r>
                    <w:rPr>
                      <w:rFonts w:hint="eastAsia" w:ascii="Times New Roman" w:hAnsi="Times New Roman" w:eastAsia="宋体" w:cs="宋体"/>
                      <w:kern w:val="0"/>
                      <w:szCs w:val="21"/>
                    </w:rPr>
                    <w:t>无需设置</w:t>
                  </w:r>
                </w:p>
              </w:tc>
            </w:tr>
          </w:tbl>
          <w:p>
            <w:pPr>
              <w:autoSpaceDE w:val="0"/>
              <w:autoSpaceDN w:val="0"/>
              <w:rPr>
                <w:rFonts w:ascii="Times New Roman" w:hAnsi="Times New Roman" w:eastAsia="宋体" w:cs="Times New Roman"/>
                <w:b/>
                <w:bCs/>
                <w:kern w:val="0"/>
                <w:szCs w:val="21"/>
              </w:rPr>
            </w:pPr>
            <w:r>
              <w:rPr>
                <w:rFonts w:ascii="Times New Roman" w:hAnsi="Times New Roman" w:eastAsia="宋体" w:cs="Times New Roman"/>
                <w:b/>
                <w:bCs/>
                <w:kern w:val="0"/>
                <w:szCs w:val="21"/>
              </w:rPr>
              <w:t>注：1.废气中有毒有害污染物指纳入《有毒有害大气污染物名录》的污染物（不包括无排放标准的污染物）。</w:t>
            </w:r>
          </w:p>
          <w:p>
            <w:pPr>
              <w:autoSpaceDE w:val="0"/>
              <w:autoSpaceDN w:val="0"/>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2.</w:t>
            </w:r>
            <w:r>
              <w:rPr>
                <w:rFonts w:ascii="Times New Roman" w:hAnsi="Times New Roman" w:eastAsia="宋体" w:cs="Times New Roman"/>
                <w:b/>
                <w:bCs/>
                <w:kern w:val="0"/>
                <w:szCs w:val="21"/>
              </w:rPr>
              <w:t>环境空气保护目标指自然保护区、风景名胜区、居住区、文化区和农村地区中人群较集中的区域。</w:t>
            </w:r>
          </w:p>
          <w:p>
            <w:pPr>
              <w:autoSpaceDE w:val="0"/>
              <w:autoSpaceDN w:val="0"/>
              <w:jc w:val="left"/>
              <w:rPr>
                <w:rFonts w:ascii="Times New Roman" w:hAnsi="Times New Roman" w:eastAsia="宋体" w:cs="宋体"/>
                <w:b/>
                <w:bCs/>
                <w:kern w:val="0"/>
                <w:sz w:val="24"/>
                <w:szCs w:val="24"/>
              </w:rPr>
            </w:pPr>
            <w:r>
              <w:rPr>
                <w:rFonts w:hint="eastAsia" w:ascii="Times New Roman" w:hAnsi="Times New Roman" w:eastAsia="宋体" w:cs="Times New Roman"/>
                <w:b/>
                <w:bCs/>
                <w:kern w:val="0"/>
                <w:szCs w:val="21"/>
              </w:rPr>
              <w:t>3.</w:t>
            </w:r>
            <w:r>
              <w:rPr>
                <w:rFonts w:ascii="Times New Roman" w:hAnsi="Times New Roman" w:eastAsia="宋体" w:cs="Times New Roman"/>
                <w:b/>
                <w:bCs/>
                <w:kern w:val="0"/>
                <w:szCs w:val="21"/>
              </w:rPr>
              <w:t>临界量及其计算方法可参考《建设项目环境风险技术导则》（HJ169）附录B、附录C。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25" w:type="pct"/>
            <w:vAlign w:val="center"/>
          </w:tcPr>
          <w:p>
            <w:pPr>
              <w:autoSpaceDE w:val="0"/>
              <w:autoSpaceDN w:val="0"/>
              <w:adjustRightInd w:val="0"/>
              <w:snapToGrid w:val="0"/>
              <w:jc w:val="center"/>
              <w:rPr>
                <w:rFonts w:ascii="宋体" w:hAnsi="宋体" w:eastAsia="宋体" w:cs="宋体"/>
                <w:kern w:val="0"/>
                <w:sz w:val="24"/>
                <w:szCs w:val="24"/>
              </w:rPr>
            </w:pPr>
            <w:r>
              <w:rPr>
                <w:rFonts w:hint="eastAsia" w:ascii="宋体" w:hAnsi="宋体" w:eastAsia="宋体" w:cs="宋体"/>
                <w:sz w:val="24"/>
                <w:szCs w:val="24"/>
              </w:rPr>
              <w:t>规划情况</w:t>
            </w:r>
          </w:p>
        </w:tc>
        <w:tc>
          <w:tcPr>
            <w:tcW w:w="3975" w:type="pct"/>
            <w:gridSpan w:val="3"/>
            <w:vAlign w:val="center"/>
          </w:tcPr>
          <w:p>
            <w:pPr>
              <w:autoSpaceDE w:val="0"/>
              <w:autoSpaceDN w:val="0"/>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025" w:type="pct"/>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规划环境影响评价情况</w:t>
            </w:r>
          </w:p>
        </w:tc>
        <w:tc>
          <w:tcPr>
            <w:tcW w:w="3975" w:type="pct"/>
            <w:gridSpan w:val="3"/>
            <w:vAlign w:val="center"/>
          </w:tcPr>
          <w:p>
            <w:pPr>
              <w:autoSpaceDE w:val="0"/>
              <w:autoSpaceDN w:val="0"/>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25" w:type="pct"/>
            <w:vAlign w:val="center"/>
          </w:tcPr>
          <w:p>
            <w:pPr>
              <w:autoSpaceDE w:val="0"/>
              <w:autoSpaceDN w:val="0"/>
              <w:adjustRightInd w:val="0"/>
              <w:snapToGrid w:val="0"/>
              <w:jc w:val="center"/>
              <w:rPr>
                <w:rFonts w:ascii="宋体" w:hAnsi="宋体" w:eastAsia="宋体" w:cs="宋体"/>
                <w:kern w:val="0"/>
                <w:sz w:val="24"/>
                <w:szCs w:val="24"/>
              </w:rPr>
            </w:pPr>
            <w:r>
              <w:rPr>
                <w:rFonts w:hint="eastAsia" w:ascii="宋体" w:hAnsi="宋体" w:eastAsia="宋体" w:cs="宋体"/>
                <w:kern w:val="0"/>
                <w:sz w:val="24"/>
                <w:szCs w:val="24"/>
              </w:rPr>
              <w:t>规划及规划环境影响评价符合性分析</w:t>
            </w:r>
          </w:p>
        </w:tc>
        <w:tc>
          <w:tcPr>
            <w:tcW w:w="3975" w:type="pct"/>
            <w:gridSpan w:val="3"/>
            <w:vAlign w:val="center"/>
          </w:tcPr>
          <w:p>
            <w:pPr>
              <w:autoSpaceDE w:val="0"/>
              <w:autoSpaceDN w:val="0"/>
              <w:jc w:val="center"/>
              <w:rPr>
                <w:rFonts w:ascii="宋体" w:hAnsi="宋体" w:eastAsia="宋体" w:cs="宋体"/>
                <w:kern w:val="0"/>
                <w:sz w:val="24"/>
                <w:szCs w:val="24"/>
              </w:rPr>
            </w:pPr>
            <w:r>
              <w:rPr>
                <w:rFonts w:hint="eastAsia" w:ascii="Times New Roman" w:hAnsi="Times New Roman" w:eastAsia="宋体" w:cs="宋体"/>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25" w:type="pct"/>
            <w:vAlign w:val="center"/>
          </w:tcPr>
          <w:p>
            <w:pPr>
              <w:autoSpaceDE w:val="0"/>
              <w:autoSpaceDN w:val="0"/>
              <w:adjustRightInd w:val="0"/>
              <w:snapToGrid w:val="0"/>
              <w:jc w:val="center"/>
              <w:rPr>
                <w:rFonts w:ascii="宋体" w:hAnsi="宋体" w:eastAsia="宋体" w:cs="宋体"/>
                <w:kern w:val="0"/>
                <w:sz w:val="24"/>
                <w:szCs w:val="24"/>
              </w:rPr>
            </w:pPr>
            <w:r>
              <w:rPr>
                <w:rFonts w:hint="eastAsia" w:ascii="宋体" w:hAnsi="宋体" w:eastAsia="宋体" w:cs="宋体"/>
                <w:kern w:val="0"/>
                <w:sz w:val="24"/>
                <w:szCs w:val="24"/>
              </w:rPr>
              <w:t>其他符合性分析</w:t>
            </w:r>
          </w:p>
        </w:tc>
        <w:tc>
          <w:tcPr>
            <w:tcW w:w="3975" w:type="pct"/>
            <w:gridSpan w:val="3"/>
            <w:vAlign w:val="center"/>
          </w:tcPr>
          <w:p>
            <w:pPr>
              <w:spacing w:line="360" w:lineRule="auto"/>
              <w:rPr>
                <w:rFonts w:ascii="Times New Roman" w:hAnsi="Times New Roman" w:eastAsia="宋体" w:cs="Times New Roman"/>
                <w:b/>
                <w:sz w:val="24"/>
                <w:szCs w:val="24"/>
              </w:rPr>
            </w:pPr>
            <w:r>
              <w:rPr>
                <w:rFonts w:hint="eastAsia" w:ascii="Times New Roman" w:hAnsi="Times New Roman" w:eastAsia="宋体" w:cs="Times New Roman"/>
                <w:b/>
                <w:sz w:val="24"/>
                <w:szCs w:val="24"/>
              </w:rPr>
              <w:t>1</w:t>
            </w:r>
            <w:r>
              <w:rPr>
                <w:rFonts w:hint="eastAsia" w:ascii="宋体" w:hAnsi="宋体" w:eastAsia="宋体" w:cs="Times New Roman"/>
                <w:b/>
                <w:sz w:val="24"/>
                <w:szCs w:val="24"/>
              </w:rPr>
              <w:t>、产业政策符合性分析</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根据《产业结构调整指导目录（</w:t>
            </w:r>
            <w:r>
              <w:rPr>
                <w:rFonts w:ascii="Times New Roman" w:hAnsi="Times New Roman" w:eastAsia="宋体" w:cs="Times New Roman"/>
                <w:kern w:val="0"/>
                <w:sz w:val="24"/>
                <w:szCs w:val="24"/>
              </w:rPr>
              <w:t>2019年本）》（中华人民共和国国家发展和改革委员会令第29号）的规定，本项目</w:t>
            </w:r>
            <w:r>
              <w:rPr>
                <w:rFonts w:hint="eastAsia" w:ascii="Times New Roman" w:hAnsi="Times New Roman" w:eastAsia="宋体" w:cs="Times New Roman"/>
                <w:kern w:val="0"/>
                <w:sz w:val="24"/>
                <w:szCs w:val="24"/>
              </w:rPr>
              <w:t>属于“鼓励类”中“三、煤炭”中“1</w:t>
            </w:r>
            <w:r>
              <w:rPr>
                <w:rFonts w:ascii="Times New Roman" w:hAnsi="Times New Roman" w:eastAsia="宋体" w:cs="Times New Roman"/>
                <w:kern w:val="0"/>
                <w:sz w:val="24"/>
                <w:szCs w:val="24"/>
              </w:rPr>
              <w:t>7</w:t>
            </w:r>
            <w:r>
              <w:rPr>
                <w:rFonts w:hint="eastAsia" w:ascii="Times New Roman" w:hAnsi="Times New Roman" w:eastAsia="宋体" w:cs="Times New Roman"/>
                <w:kern w:val="0"/>
                <w:sz w:val="24"/>
                <w:szCs w:val="24"/>
              </w:rPr>
              <w:t>、大型煤炭储运中心、煤炭交易市场建设”</w:t>
            </w:r>
            <w:r>
              <w:rPr>
                <w:rFonts w:ascii="Times New Roman" w:hAnsi="Times New Roman" w:eastAsia="宋体" w:cs="Times New Roman"/>
                <w:kern w:val="0"/>
                <w:sz w:val="24"/>
                <w:szCs w:val="24"/>
              </w:rPr>
              <w:t>，项目符合国家现行的有关产业政策。</w:t>
            </w:r>
          </w:p>
          <w:p>
            <w:pPr>
              <w:spacing w:line="360" w:lineRule="auto"/>
              <w:rPr>
                <w:rFonts w:ascii="Times New Roman" w:hAnsi="Times New Roman" w:eastAsia="宋体" w:cs="Times New Roman"/>
                <w:b/>
                <w:sz w:val="24"/>
                <w:szCs w:val="24"/>
              </w:rPr>
            </w:pPr>
            <w:r>
              <w:rPr>
                <w:rFonts w:hint="eastAsia" w:ascii="Times New Roman" w:hAnsi="Times New Roman" w:eastAsia="宋体" w:cs="Times New Roman"/>
                <w:b/>
                <w:sz w:val="24"/>
                <w:szCs w:val="24"/>
              </w:rPr>
              <w:t>2、“三线一单”符合性分析</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（1）生态保护红线</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本项目位于湖南省郴州市永兴县湘阴渡街道燕尾村</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根据项目用地与永兴县“三区三线”划定成果套合示意图可知（具体见附件3），本项目不涉及基本农田、生态保护红线；同时经过现场勘查周边不涉及</w:t>
            </w:r>
            <w:r>
              <w:rPr>
                <w:rFonts w:ascii="Times New Roman" w:hAnsi="Times New Roman" w:eastAsia="宋体" w:cs="Times New Roman"/>
                <w:kern w:val="0"/>
                <w:sz w:val="24"/>
                <w:szCs w:val="24"/>
              </w:rPr>
              <w:t>自然保护区、风景名胜区、饮用水源保护区等敏感环境保护目标</w:t>
            </w:r>
            <w:r>
              <w:rPr>
                <w:rFonts w:hint="eastAsia" w:ascii="Times New Roman" w:hAnsi="Times New Roman" w:eastAsia="宋体" w:cs="Times New Roman"/>
                <w:kern w:val="0"/>
                <w:sz w:val="24"/>
                <w:szCs w:val="24"/>
              </w:rPr>
              <w:t>，项目</w:t>
            </w:r>
            <w:r>
              <w:rPr>
                <w:rFonts w:ascii="Times New Roman" w:hAnsi="Times New Roman" w:eastAsia="宋体" w:cs="Times New Roman"/>
                <w:kern w:val="0"/>
                <w:sz w:val="24"/>
                <w:szCs w:val="24"/>
              </w:rPr>
              <w:t>符合生态保护红线要求。</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（2）环境质量底线</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根据引用的区域大气、地表水等相关监测数据，项目所在区域属于大气环境质量达标区、水环境达标区。本项目运营后生活废水经过化粪池预处理后用于周边农灌；项目厂界噪声昼夜间贡献值满足《工业企业厂界环境噪声排放标准》（</w:t>
            </w:r>
            <w:r>
              <w:rPr>
                <w:rFonts w:ascii="Times New Roman" w:hAnsi="Times New Roman" w:eastAsia="宋体" w:cs="Times New Roman"/>
                <w:kern w:val="0"/>
                <w:sz w:val="24"/>
                <w:szCs w:val="24"/>
              </w:rPr>
              <w:t>GB12348-2008</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2类标准要求，对周围声环境影响不明显，满足环境质量底线要求</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固废均得到妥善处置。三废排放不会对区域环境质量造成冲击</w:t>
            </w:r>
            <w:r>
              <w:rPr>
                <w:rFonts w:hint="eastAsia" w:ascii="Times New Roman" w:hAnsi="Times New Roman" w:eastAsia="宋体" w:cs="Times New Roman"/>
                <w:kern w:val="0"/>
                <w:sz w:val="24"/>
                <w:szCs w:val="24"/>
              </w:rPr>
              <w:t>，对周边环境影响较小。</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（3）资源利用上线限符合性</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项目运营过程中消耗一定量的水、电等能源和资源，项目资源消耗相对区域资源利用总量较少，不涉及资源利用上线。</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4）生态环境分区管控单元环境准入条件</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根据《郴州市人民政府关于实施“三线一单”</w:t>
            </w:r>
            <w:r>
              <w:rPr>
                <w:rFonts w:ascii="Times New Roman" w:hAnsi="Times New Roman" w:eastAsia="宋体" w:cs="Times New Roman"/>
                <w:kern w:val="0"/>
                <w:sz w:val="24"/>
                <w:szCs w:val="24"/>
              </w:rPr>
              <w:t xml:space="preserve"> 生态环境分区管控的意见》（郴政发〔2020〕11号）、《湖南省人民政府关于实施“三线一单” 生态环境分区管控的意见》（湘政发〔2020〕12号）相关规定：项目</w:t>
            </w:r>
            <w:r>
              <w:rPr>
                <w:rFonts w:hint="eastAsia" w:ascii="Times New Roman" w:hAnsi="Times New Roman" w:eastAsia="宋体" w:cs="Times New Roman"/>
                <w:kern w:val="0"/>
                <w:sz w:val="24"/>
                <w:szCs w:val="24"/>
              </w:rPr>
              <w:t>拟建设所在地为湖南省郴州市永兴县湘阴渡街道燕尾村</w:t>
            </w:r>
            <w:r>
              <w:rPr>
                <w:rFonts w:ascii="Times New Roman" w:hAnsi="Times New Roman" w:eastAsia="宋体" w:cs="Times New Roman"/>
                <w:kern w:val="0"/>
                <w:sz w:val="24"/>
                <w:szCs w:val="24"/>
              </w:rPr>
              <w:t>，编码为ZH43102310001；生态环境管控单元为</w:t>
            </w:r>
            <w:r>
              <w:rPr>
                <w:rFonts w:hint="eastAsia" w:ascii="Times New Roman" w:hAnsi="Times New Roman" w:eastAsia="宋体" w:cs="Times New Roman"/>
                <w:kern w:val="0"/>
                <w:sz w:val="24"/>
                <w:szCs w:val="24"/>
              </w:rPr>
              <w:t>优先保护单元：</w:t>
            </w:r>
          </w:p>
          <w:p>
            <w:pPr>
              <w:autoSpaceDE w:val="0"/>
              <w:autoSpaceDN w:val="0"/>
              <w:spacing w:line="360" w:lineRule="auto"/>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表1</w:t>
            </w:r>
            <w:r>
              <w:rPr>
                <w:rFonts w:ascii="Times New Roman" w:hAnsi="Times New Roman" w:eastAsia="宋体" w:cs="Times New Roman"/>
                <w:b/>
                <w:bCs/>
                <w:kern w:val="0"/>
                <w:sz w:val="24"/>
                <w:szCs w:val="24"/>
              </w:rPr>
              <w:t xml:space="preserve">-2 </w:t>
            </w:r>
            <w:r>
              <w:rPr>
                <w:rFonts w:hint="eastAsia" w:ascii="Times New Roman" w:hAnsi="Times New Roman" w:eastAsia="宋体" w:cs="Times New Roman"/>
                <w:b/>
                <w:bCs/>
                <w:kern w:val="0"/>
                <w:sz w:val="24"/>
                <w:szCs w:val="24"/>
              </w:rPr>
              <w:t>“三线一单”生态环境管控单元要求符合性判定表</w:t>
            </w:r>
          </w:p>
          <w:tbl>
            <w:tblPr>
              <w:tblStyle w:val="7"/>
              <w:tblW w:w="4996" w:type="pct"/>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3810"/>
              <w:gridCol w:w="1932"/>
              <w:gridCol w:w="6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1" w:type="pct"/>
                  <w:vAlign w:val="center"/>
                </w:tcPr>
                <w:p>
                  <w:pPr>
                    <w:wordWrap w:val="0"/>
                    <w:autoSpaceDE w:val="0"/>
                    <w:autoSpaceDN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管控维度</w:t>
                  </w:r>
                </w:p>
              </w:tc>
              <w:tc>
                <w:tcPr>
                  <w:tcW w:w="2728" w:type="pct"/>
                  <w:vAlign w:val="center"/>
                </w:tcPr>
                <w:p>
                  <w:pPr>
                    <w:wordWrap w:val="0"/>
                    <w:autoSpaceDE w:val="0"/>
                    <w:autoSpaceDN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管控要求</w:t>
                  </w:r>
                </w:p>
              </w:tc>
              <w:tc>
                <w:tcPr>
                  <w:tcW w:w="1383" w:type="pct"/>
                  <w:vAlign w:val="center"/>
                </w:tcPr>
                <w:p>
                  <w:pPr>
                    <w:wordWrap w:val="0"/>
                    <w:autoSpaceDE w:val="0"/>
                    <w:autoSpaceDN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本项目</w:t>
                  </w:r>
                </w:p>
              </w:tc>
              <w:tc>
                <w:tcPr>
                  <w:tcW w:w="455" w:type="pct"/>
                  <w:vAlign w:val="center"/>
                </w:tcPr>
                <w:p>
                  <w:pPr>
                    <w:wordWrap w:val="0"/>
                    <w:autoSpaceDE w:val="0"/>
                    <w:autoSpaceDN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1" w:type="pct"/>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空间布局约束</w:t>
                  </w:r>
                </w:p>
              </w:tc>
              <w:tc>
                <w:tcPr>
                  <w:tcW w:w="2728" w:type="pct"/>
                  <w:vAlign w:val="center"/>
                </w:tcPr>
                <w:p>
                  <w:pPr>
                    <w:tabs>
                      <w:tab w:val="left" w:pos="1021"/>
                    </w:tabs>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1.1）依法管控高污染、高能耗、高物耗企业。</w:t>
                  </w:r>
                </w:p>
                <w:p>
                  <w:pPr>
                    <w:tabs>
                      <w:tab w:val="left" w:pos="1021"/>
                    </w:tabs>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1.2）对城区扩张进行合理科学的规划。</w:t>
                  </w:r>
                </w:p>
                <w:p>
                  <w:pPr>
                    <w:tabs>
                      <w:tab w:val="left" w:pos="1021"/>
                    </w:tabs>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1.3）全县规划重点勘查区1处（湖南省大义山地区（永兴部分）锡多金属矿重点勘查区），重点勘查区内优先投放探矿权。</w:t>
                  </w:r>
                </w:p>
                <w:p>
                  <w:pPr>
                    <w:tabs>
                      <w:tab w:val="left" w:pos="1021"/>
                    </w:tabs>
                    <w:rPr>
                      <w:rFonts w:ascii="Times New Roman" w:hAnsi="Times New Roman" w:eastAsia="宋体" w:cs="Times New Roman"/>
                      <w:szCs w:val="21"/>
                    </w:rPr>
                  </w:pPr>
                  <w:r>
                    <w:rPr>
                      <w:rFonts w:hint="eastAsia" w:ascii="Times New Roman" w:hAnsi="Times New Roman" w:eastAsia="宋体" w:cs="Times New Roman"/>
                      <w:szCs w:val="21"/>
                    </w:rPr>
                    <w:t>限制勘查区</w:t>
                  </w:r>
                  <w:r>
                    <w:rPr>
                      <w:rFonts w:ascii="Times New Roman" w:hAnsi="Times New Roman" w:eastAsia="宋体" w:cs="Times New Roman"/>
                      <w:szCs w:val="21"/>
                    </w:rPr>
                    <w:t>13个，包括具有资源保护功能限制勘查区2个和具有生态环境保护功能的限制勘查区11个，具有生态环境保护功能的限制勘查区，原则上不再新设探矿权，已设探矿权应区别情况、分类处理；已设探矿权应依法有序退出。具有资源保护功能的限制勘查区内，原则上不新设保护矿种的商业性探矿权，已设探矿权不得扩界，完成勘查工作后有序退出。</w:t>
                  </w:r>
                </w:p>
                <w:p>
                  <w:pPr>
                    <w:tabs>
                      <w:tab w:val="left" w:pos="1021"/>
                    </w:tabs>
                    <w:rPr>
                      <w:rFonts w:ascii="Times New Roman" w:hAnsi="Times New Roman" w:eastAsia="宋体" w:cs="Times New Roman"/>
                      <w:szCs w:val="21"/>
                    </w:rPr>
                  </w:pPr>
                  <w:r>
                    <w:rPr>
                      <w:rFonts w:hint="eastAsia" w:ascii="Times New Roman" w:hAnsi="Times New Roman" w:eastAsia="宋体" w:cs="Times New Roman"/>
                      <w:szCs w:val="21"/>
                    </w:rPr>
                    <w:t>规划限制开采</w:t>
                  </w:r>
                  <w:r>
                    <w:rPr>
                      <w:rFonts w:ascii="Times New Roman" w:hAnsi="Times New Roman" w:eastAsia="宋体" w:cs="Times New Roman"/>
                      <w:szCs w:val="21"/>
                    </w:rPr>
                    <w:t>5处（湖南省郴耒煤田北段樟树-湘阴渡区煤炭限制开采区；湖南省郴耒煤田高坡矿区煤炭限制开采区；悦来温泉限制开采区；黄口堰水库限制开采区；湖南永兴丹霞国家森林公园、国家级公益林限制开采区），禁止开采区8处（马田镇建设规划区禁止开采区；永兴县城建设规划区禁止开采区；</w:t>
                  </w:r>
                </w:p>
                <w:p>
                  <w:pPr>
                    <w:tabs>
                      <w:tab w:val="left" w:pos="1021"/>
                    </w:tabs>
                    <w:rPr>
                      <w:rFonts w:ascii="Times New Roman" w:hAnsi="Times New Roman" w:eastAsia="宋体" w:cs="Times New Roman"/>
                      <w:szCs w:val="21"/>
                    </w:rPr>
                  </w:pPr>
                  <w:r>
                    <w:rPr>
                      <w:rFonts w:hint="eastAsia" w:ascii="Times New Roman" w:hAnsi="Times New Roman" w:eastAsia="宋体" w:cs="Times New Roman"/>
                      <w:szCs w:val="21"/>
                    </w:rPr>
                    <w:t>青山垅水库饮用水水源保护区禁止开采区；石壁垅水库饮用水水源保护区禁止开采区；永兴县龙潭水库饮用水水源保护区禁止开采区；新材料新能源产业园禁止开采区；太和工业园禁止开采区；柏林工业区禁止开采区）。具有生态环境保护功能的限制开采区内，不得开展不符合功能定位的开发活动；采矿权的新设、延续、调整和保留，须征得所涉及保护区的主管部门同意。具有资源保护功能的限制开采区内，原则上不新设限制开采矿种采矿权（可依法延续），确需新设或扩能、扩界的，必须符合国家产业政策要求；区内其他矿种严格执行规划准入、退出要求。对各类保护区及重要市政、水利、交通等基础工程设施一定范围内，按照法律法规规定原则上不再新设采矿权。具有生态保护功能的禁止开采区和重要市政、水利、交通等基础工程设施一定范围内，严禁开展不符合功能定位的开发活动；各类保护区内原则上不再新设采矿权，已设采矿权应有序退出。</w:t>
                  </w:r>
                </w:p>
                <w:p>
                  <w:pPr>
                    <w:tabs>
                      <w:tab w:val="left" w:pos="1021"/>
                    </w:tabs>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1.4）对湘江河流域一定范围实行特殊保护，县域内湘江一级支流两岸各300米、其他重要的一级支流或二级支流两岸各200米的区域划为禁止开采区。区内禁止新设露天开采的非金属采矿权，已有采矿权不再办理扩界和扩能的变更登记。</w:t>
                  </w:r>
                </w:p>
                <w:p>
                  <w:pPr>
                    <w:tabs>
                      <w:tab w:val="left" w:pos="1021"/>
                    </w:tabs>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1.5）按永兴县相关要求布局畜禽养殖区域。</w:t>
                  </w:r>
                </w:p>
                <w:p>
                  <w:pPr>
                    <w:tabs>
                      <w:tab w:val="left" w:pos="1021"/>
                    </w:tabs>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1.6）省级以上产业园区核准面积外的园区部份，参照相应的省级以上产业园区相关要求执行。</w:t>
                  </w:r>
                </w:p>
              </w:tc>
              <w:tc>
                <w:tcPr>
                  <w:tcW w:w="1383" w:type="pct"/>
                  <w:vAlign w:val="center"/>
                </w:tcPr>
                <w:p>
                  <w:pPr>
                    <w:rPr>
                      <w:rFonts w:ascii="Times New Roman" w:hAnsi="Times New Roman" w:eastAsia="宋体" w:cs="Times New Roman"/>
                      <w:szCs w:val="21"/>
                    </w:rPr>
                  </w:pPr>
                  <w:r>
                    <w:rPr>
                      <w:rFonts w:hint="eastAsia" w:ascii="Times New Roman" w:hAnsi="Times New Roman" w:eastAsia="宋体" w:cs="Times New Roman"/>
                      <w:szCs w:val="21"/>
                    </w:rPr>
                    <w:t>本项目不属于高污染、高能耗以及高物耗企业；同时本项目属于煤炭储运项目，不涉及煤炭开采</w:t>
                  </w:r>
                </w:p>
              </w:tc>
              <w:tc>
                <w:tcPr>
                  <w:tcW w:w="455" w:type="pct"/>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1" w:type="pct"/>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污染物排放管控</w:t>
                  </w:r>
                </w:p>
              </w:tc>
              <w:tc>
                <w:tcPr>
                  <w:tcW w:w="2728" w:type="pct"/>
                </w:tcPr>
                <w:p>
                  <w:pP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2.1）废水：加快村镇污水处理设施建设，对现有农村点源、面源污染进行控制，对超标断面进行污染物来源控制和治理。全面推进农村生活污水治理，加强对现有农村污水治理设施的维护和运营。十四五期间农村生活污水处理水平进一步提升，农村生态环境进一步改善。</w:t>
                  </w:r>
                </w:p>
                <w:p>
                  <w:pP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2.2）废气：特护期时，执行市级生态环境管控基本要求“通用”中“污染物排放管控”中的要求。强化施工扬尘管控。畜禽养殖加强粪尿收集、处理，对恶臭进行控制。城区加强餐饮油烟处理。</w:t>
                  </w:r>
                </w:p>
                <w:p>
                  <w:pP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2.3）固废：加快垃圾中转站的建设，严格垃圾堆放。禁止垃圾就地焚烧。强化采矿固废处置。</w:t>
                  </w:r>
                </w:p>
              </w:tc>
              <w:tc>
                <w:tcPr>
                  <w:tcW w:w="1383" w:type="pct"/>
                  <w:vAlign w:val="center"/>
                </w:tcPr>
                <w:p>
                  <w:pPr>
                    <w:ind w:right="-34" w:rightChars="-16"/>
                    <w:rPr>
                      <w:rFonts w:ascii="Times New Roman" w:hAnsi="Times New Roman" w:eastAsia="宋体" w:cs="Times New Roman"/>
                      <w:szCs w:val="21"/>
                    </w:rPr>
                  </w:pPr>
                  <w:r>
                    <w:rPr>
                      <w:rFonts w:hint="eastAsia" w:ascii="Times New Roman" w:hAnsi="Times New Roman" w:eastAsia="宋体" w:cs="Times New Roman"/>
                      <w:szCs w:val="21"/>
                    </w:rPr>
                    <w:t>本项目生活废水经过化粪池预处理后用于周边农灌；仓储区域设置四面围挡（仅保留进出口），装卸过程中采取洒水降尘方式，项目运输车辆封闭且进出口设置洗车槽，生活垃圾定期交由环卫部门处置，一般固废综合处置利用</w:t>
                  </w:r>
                  <w:r>
                    <w:rPr>
                      <w:rFonts w:ascii="Times New Roman" w:hAnsi="Times New Roman" w:eastAsia="宋体" w:cs="Times New Roman"/>
                      <w:szCs w:val="21"/>
                    </w:rPr>
                    <w:t xml:space="preserve"> </w:t>
                  </w:r>
                </w:p>
              </w:tc>
              <w:tc>
                <w:tcPr>
                  <w:tcW w:w="455" w:type="pct"/>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1" w:type="pct"/>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环境风险防控</w:t>
                  </w:r>
                </w:p>
              </w:tc>
              <w:tc>
                <w:tcPr>
                  <w:tcW w:w="2728" w:type="pct"/>
                  <w:vAlign w:val="center"/>
                </w:tcPr>
                <w:p>
                  <w:pPr>
                    <w:spacing w:line="320" w:lineRule="exact"/>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3.1）执行省级生态环境准入总体清单、市级管控基本要求中相关要求。</w:t>
                  </w:r>
                </w:p>
              </w:tc>
              <w:tc>
                <w:tcPr>
                  <w:tcW w:w="1383" w:type="pct"/>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本项目完成环境影响评价后按要求进行突发环境事件应急预案编制工作</w:t>
                  </w:r>
                </w:p>
              </w:tc>
              <w:tc>
                <w:tcPr>
                  <w:tcW w:w="455" w:type="pct"/>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431" w:type="pct"/>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资源开发效率要求</w:t>
                  </w:r>
                </w:p>
              </w:tc>
              <w:tc>
                <w:tcPr>
                  <w:tcW w:w="2728" w:type="pct"/>
                  <w:vAlign w:val="center"/>
                </w:tcPr>
                <w:p>
                  <w:pP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4.1）积极引导居民改用清洁能源，鼓励秸秆资源化，推广节水设施。</w:t>
                  </w:r>
                </w:p>
                <w:p>
                  <w:pP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4.2）加强对辖区内森林资源的保护，合理开发。合理开发土地资源。</w:t>
                  </w:r>
                </w:p>
                <w:p>
                  <w:pP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4.3）对辖区内矿产资源合理开发。</w:t>
                  </w:r>
                </w:p>
              </w:tc>
              <w:tc>
                <w:tcPr>
                  <w:tcW w:w="1383" w:type="pct"/>
                  <w:vAlign w:val="center"/>
                </w:tcPr>
                <w:p>
                  <w:pPr>
                    <w:rPr>
                      <w:rFonts w:ascii="Times New Roman" w:hAnsi="Times New Roman" w:eastAsia="宋体" w:cs="Times New Roman"/>
                      <w:szCs w:val="21"/>
                    </w:rPr>
                  </w:pPr>
                  <w:r>
                    <w:rPr>
                      <w:rFonts w:hint="eastAsia" w:ascii="Times New Roman" w:hAnsi="Times New Roman" w:eastAsia="宋体" w:cs="Times New Roman"/>
                      <w:szCs w:val="21"/>
                    </w:rPr>
                    <w:t>本项目生产过程中使用能源为电能，为清洁能源；同时不涉及煤矿资源的开采</w:t>
                  </w:r>
                </w:p>
              </w:tc>
              <w:tc>
                <w:tcPr>
                  <w:tcW w:w="455" w:type="pct"/>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bl>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3</w:t>
            </w:r>
            <w:r>
              <w:rPr>
                <w:rFonts w:hint="eastAsia" w:ascii="Times New Roman" w:hAnsi="Times New Roman" w:eastAsia="宋体" w:cs="Times New Roman"/>
                <w:b/>
                <w:sz w:val="24"/>
                <w:szCs w:val="24"/>
              </w:rPr>
              <w:t>、选址合理性分析</w:t>
            </w:r>
          </w:p>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本项目位于湖南省郴州市永兴县湘阴渡街道燕尾村</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根据项目用地与永兴县“三区三线”划定成果套合示意图可知（具体见附件3），本项目不涉及基本农田、生态保护红线；同时经过现场勘查周边不涉及</w:t>
            </w:r>
            <w:r>
              <w:rPr>
                <w:rFonts w:ascii="Times New Roman" w:hAnsi="Times New Roman" w:eastAsia="宋体" w:cs="Times New Roman"/>
                <w:kern w:val="0"/>
                <w:sz w:val="24"/>
                <w:szCs w:val="24"/>
              </w:rPr>
              <w:t>自然保护区、风景名胜区、饮用水源保护区等敏感环境保护目标。周边绿化较好，厂址四周道路、水、电等基础设施完善，交通方便，根据本项目工程分析及环境影响预测，建设项目正常运营不会对周边环境敏感保护目标造成不利影响。</w:t>
            </w:r>
          </w:p>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综上所述，</w:t>
            </w:r>
            <w:r>
              <w:rPr>
                <w:rFonts w:ascii="Times New Roman" w:hAnsi="Times New Roman" w:eastAsia="宋体" w:cs="Times New Roman"/>
                <w:kern w:val="0"/>
                <w:sz w:val="24"/>
                <w:szCs w:val="24"/>
              </w:rPr>
              <w:t xml:space="preserve"> 项目建设选址可行</w:t>
            </w:r>
            <w:r>
              <w:rPr>
                <w:rFonts w:hint="eastAsia" w:ascii="Times New Roman" w:hAnsi="Times New Roman" w:eastAsia="宋体" w:cs="Times New Roman"/>
                <w:kern w:val="0"/>
                <w:sz w:val="24"/>
                <w:szCs w:val="24"/>
              </w:rPr>
              <w:t>。</w:t>
            </w:r>
          </w:p>
          <w:p>
            <w:pPr>
              <w:spacing w:line="360" w:lineRule="auto"/>
              <w:rPr>
                <w:rFonts w:ascii="Times New Roman" w:hAnsi="Times New Roman" w:eastAsia="宋体" w:cs="Times New Roman"/>
                <w:b/>
                <w:sz w:val="24"/>
                <w:szCs w:val="24"/>
              </w:rPr>
            </w:pPr>
            <w:r>
              <w:rPr>
                <w:rFonts w:hint="eastAsia" w:ascii="Times New Roman" w:hAnsi="Times New Roman" w:eastAsia="宋体" w:cs="Times New Roman"/>
                <w:b/>
                <w:sz w:val="24"/>
                <w:szCs w:val="24"/>
              </w:rPr>
              <w:t>4、与《关于进一步加强煤炭资源开发环境影响评价管理的通知》（环环评﹝2</w:t>
            </w:r>
            <w:r>
              <w:rPr>
                <w:rFonts w:ascii="Times New Roman" w:hAnsi="Times New Roman" w:eastAsia="宋体" w:cs="Times New Roman"/>
                <w:b/>
                <w:sz w:val="24"/>
                <w:szCs w:val="24"/>
              </w:rPr>
              <w:t>020</w:t>
            </w:r>
            <w:r>
              <w:rPr>
                <w:rFonts w:hint="eastAsia" w:ascii="Times New Roman" w:hAnsi="Times New Roman" w:eastAsia="宋体" w:cs="Times New Roman"/>
                <w:b/>
                <w:sz w:val="24"/>
                <w:szCs w:val="24"/>
              </w:rPr>
              <w:t>﹞6</w:t>
            </w:r>
            <w:r>
              <w:rPr>
                <w:rFonts w:ascii="Times New Roman" w:hAnsi="Times New Roman" w:eastAsia="宋体" w:cs="Times New Roman"/>
                <w:b/>
                <w:sz w:val="24"/>
                <w:szCs w:val="24"/>
              </w:rPr>
              <w:t>3</w:t>
            </w:r>
            <w:r>
              <w:rPr>
                <w:rFonts w:hint="eastAsia" w:ascii="Times New Roman" w:hAnsi="Times New Roman" w:eastAsia="宋体" w:cs="Times New Roman"/>
                <w:b/>
                <w:sz w:val="24"/>
                <w:szCs w:val="24"/>
              </w:rPr>
              <w:t>号）符合性分析</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根据《关于进一步加强煤炭资源开发环境影响评价管理的通知》（</w:t>
            </w:r>
            <w:r>
              <w:rPr>
                <w:rFonts w:hint="eastAsia" w:ascii="Times New Roman" w:hAnsi="Times New Roman" w:eastAsia="宋体" w:cs="Times New Roman"/>
                <w:sz w:val="24"/>
                <w:szCs w:val="24"/>
              </w:rPr>
              <w:t>环评﹝2</w:t>
            </w:r>
            <w:r>
              <w:rPr>
                <w:rFonts w:ascii="Times New Roman" w:hAnsi="Times New Roman" w:eastAsia="宋体" w:cs="Times New Roman"/>
                <w:sz w:val="24"/>
                <w:szCs w:val="24"/>
              </w:rPr>
              <w:t>020</w:t>
            </w:r>
            <w:r>
              <w:rPr>
                <w:rFonts w:hint="eastAsia" w:ascii="Times New Roman" w:hAnsi="Times New Roman" w:eastAsia="宋体" w:cs="Times New Roman"/>
                <w:sz w:val="24"/>
                <w:szCs w:val="24"/>
              </w:rPr>
              <w:t>﹞6</w:t>
            </w:r>
            <w:r>
              <w:rPr>
                <w:rFonts w:ascii="Times New Roman" w:hAnsi="Times New Roman" w:eastAsia="宋体" w:cs="Times New Roman"/>
                <w:sz w:val="24"/>
                <w:szCs w:val="24"/>
              </w:rPr>
              <w:t>3</w:t>
            </w:r>
            <w:r>
              <w:rPr>
                <w:rFonts w:hint="eastAsia" w:ascii="Times New Roman" w:hAnsi="Times New Roman" w:eastAsia="宋体" w:cs="Times New Roman"/>
                <w:sz w:val="24"/>
                <w:szCs w:val="24"/>
              </w:rPr>
              <w:t>号</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中二深化</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放管服</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改革优化项目环评管理</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十三</w:t>
            </w:r>
            <w:r>
              <w:rPr>
                <w:rFonts w:hint="eastAsia" w:ascii="Times New Roman" w:hAnsi="Times New Roman" w:eastAsia="宋体" w:cs="Times New Roman"/>
                <w:kern w:val="0"/>
                <w:sz w:val="24"/>
                <w:szCs w:val="24"/>
              </w:rPr>
              <w:t>）</w:t>
            </w:r>
            <w:r>
              <w:rPr>
                <w:rFonts w:hint="eastAsia" w:ascii="宋体" w:hAnsi="宋体" w:eastAsia="宋体" w:cs="Times New Roman"/>
                <w:kern w:val="0"/>
                <w:sz w:val="24"/>
                <w:szCs w:val="24"/>
              </w:rPr>
              <w:t>﹍</w:t>
            </w:r>
            <w:r>
              <w:rPr>
                <w:rFonts w:ascii="Times New Roman" w:hAnsi="Times New Roman" w:eastAsia="宋体" w:cs="Times New Roman"/>
                <w:kern w:val="0"/>
                <w:sz w:val="24"/>
                <w:szCs w:val="24"/>
              </w:rPr>
              <w:t>煤炭、研石的储存、装卸、输送以及破碎、筛选等产尘环节，应采取有效指施控制扬尘污染，优先采取封闭措施，厂界无组织排放应符合国家和地方相关标准要求；及环境敏感区或区域颗粒物超标的，依法采取封闭措施。煤炭企业应针对煤炭运输的扬尘污染提出封闭运输、车辆清</w:t>
            </w:r>
            <w:r>
              <w:rPr>
                <w:rFonts w:hint="eastAsia" w:ascii="Times New Roman" w:hAnsi="Times New Roman" w:eastAsia="宋体" w:cs="Times New Roman"/>
                <w:kern w:val="0"/>
                <w:sz w:val="24"/>
                <w:szCs w:val="24"/>
              </w:rPr>
              <w:t>洗</w:t>
            </w:r>
            <w:r>
              <w:rPr>
                <w:rFonts w:ascii="Times New Roman" w:hAnsi="Times New Roman" w:eastAsia="宋体" w:cs="Times New Roman"/>
                <w:kern w:val="0"/>
                <w:sz w:val="24"/>
                <w:szCs w:val="24"/>
              </w:rPr>
              <w:t>等防治要求，减少对道路沿线的影响；关企业应规划建设铁路专用线、码头等，优先采用铁路、水路等方式运输煤炭。</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堆煤场设置四面围挡（仅设置进出口）并设置喷淋洒水装置，运输车辆密闭，且装卸过程中采取洒水降尘方式，经采取上述措施后，项目厂界无组织排放粉尘符合国家和地方相关标准要求；项目运输车辆封闭且进出口设置汽车槽，废水循环利用，因此，本项目符合《关于进一步加强煤炭资源开发环境影响评价管理的通知》（环环评﹝</w:t>
            </w:r>
            <w:r>
              <w:rPr>
                <w:rFonts w:ascii="Times New Roman" w:hAnsi="Times New Roman" w:eastAsia="宋体" w:cs="Times New Roman"/>
                <w:kern w:val="0"/>
                <w:sz w:val="24"/>
                <w:szCs w:val="24"/>
              </w:rPr>
              <w:t>2020﹞63号）中相关要求。</w:t>
            </w:r>
          </w:p>
        </w:tc>
      </w:tr>
      <w:bookmarkEnd w:id="25"/>
    </w:tbl>
    <w:p>
      <w:pPr>
        <w:sectPr>
          <w:footerReference r:id="rId3" w:type="default"/>
          <w:pgSz w:w="11906" w:h="16838"/>
          <w:pgMar w:top="1418" w:right="1418" w:bottom="1418" w:left="1418" w:header="851" w:footer="992" w:gutter="0"/>
          <w:pgNumType w:fmt="numberInDash" w:start="1"/>
          <w:cols w:space="425" w:num="1"/>
          <w:docGrid w:type="lines" w:linePitch="312" w:charSpace="0"/>
        </w:sectPr>
      </w:pPr>
    </w:p>
    <w:p>
      <w:pPr>
        <w:tabs>
          <w:tab w:val="left" w:pos="993"/>
        </w:tabs>
        <w:jc w:val="center"/>
        <w:outlineLvl w:val="0"/>
        <w:rPr>
          <w:rFonts w:ascii="Times New Roman" w:hAnsi="Times New Roman" w:eastAsia="宋体" w:cs="Times New Roman"/>
          <w:b/>
          <w:bCs/>
          <w:color w:val="000000"/>
          <w:kern w:val="44"/>
          <w:sz w:val="30"/>
          <w:szCs w:val="30"/>
        </w:rPr>
      </w:pPr>
      <w:bookmarkStart w:id="27" w:name="_Toc96962418"/>
      <w:bookmarkStart w:id="28" w:name="_Toc123889541"/>
      <w:bookmarkStart w:id="29" w:name="_Toc138957533"/>
      <w:bookmarkStart w:id="30" w:name="_Toc136147466"/>
      <w:bookmarkStart w:id="31" w:name="_Toc135115372"/>
      <w:bookmarkStart w:id="32" w:name="_Toc121378772"/>
      <w:bookmarkStart w:id="33" w:name="_Toc147996964"/>
      <w:bookmarkStart w:id="34" w:name="_Toc133553710"/>
      <w:r>
        <w:rPr>
          <w:rFonts w:hint="eastAsia" w:ascii="Times New Roman" w:hAnsi="Times New Roman" w:eastAsia="宋体" w:cs="Times New Roman"/>
          <w:b/>
          <w:bCs/>
          <w:color w:val="000000"/>
          <w:kern w:val="44"/>
          <w:sz w:val="30"/>
          <w:szCs w:val="30"/>
        </w:rPr>
        <w:t>二、建设项目工程分析</w:t>
      </w:r>
      <w:bookmarkEnd w:id="27"/>
      <w:bookmarkEnd w:id="28"/>
      <w:bookmarkEnd w:id="29"/>
      <w:bookmarkEnd w:id="30"/>
      <w:bookmarkEnd w:id="31"/>
      <w:bookmarkEnd w:id="32"/>
      <w:bookmarkEnd w:id="33"/>
      <w:bookmarkEnd w:id="34"/>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8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 w:type="pct"/>
            <w:vAlign w:val="center"/>
          </w:tcPr>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建设内容</w:t>
            </w:r>
          </w:p>
        </w:tc>
        <w:tc>
          <w:tcPr>
            <w:tcW w:w="4647" w:type="pct"/>
          </w:tcPr>
          <w:p>
            <w:pPr>
              <w:spacing w:line="360" w:lineRule="auto"/>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1、项目由来</w:t>
            </w:r>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永兴县内煤矿资源较为丰富，同时开采量较大，</w:t>
            </w:r>
            <w:r>
              <w:rPr>
                <w:rFonts w:hint="eastAsia" w:ascii="Times New Roman" w:hAnsi="Times New Roman" w:eastAsia="宋体" w:cs="Times New Roman"/>
                <w:kern w:val="0"/>
                <w:sz w:val="24"/>
                <w:szCs w:val="24"/>
              </w:rPr>
              <w:t>郴州茂鑫贸易有限公司发现商机，拟计划投资2</w:t>
            </w:r>
            <w:r>
              <w:rPr>
                <w:rFonts w:ascii="Times New Roman" w:hAnsi="Times New Roman" w:eastAsia="宋体" w:cs="Times New Roman"/>
                <w:kern w:val="0"/>
                <w:sz w:val="24"/>
                <w:szCs w:val="24"/>
              </w:rPr>
              <w:t>00万元在</w:t>
            </w:r>
            <w:r>
              <w:rPr>
                <w:rFonts w:hint="eastAsia" w:ascii="Times New Roman" w:hAnsi="Times New Roman" w:eastAsia="宋体" w:cs="Times New Roman"/>
                <w:kern w:val="0"/>
                <w:sz w:val="24"/>
                <w:szCs w:val="24"/>
              </w:rPr>
              <w:t>湖南省郴州市永兴县湘阴渡街道燕尾村建设郴州茂鑫贸易有限公司煤坪堆场建设项目。项目占地面积7</w:t>
            </w:r>
            <w:r>
              <w:rPr>
                <w:rFonts w:ascii="Times New Roman" w:hAnsi="Times New Roman" w:eastAsia="宋体" w:cs="Times New Roman"/>
                <w:kern w:val="0"/>
                <w:sz w:val="24"/>
                <w:szCs w:val="24"/>
              </w:rPr>
              <w:t>070m</w:t>
            </w:r>
            <w:r>
              <w:rPr>
                <w:rFonts w:ascii="Times New Roman" w:hAnsi="Times New Roman" w:eastAsia="宋体" w:cs="Times New Roman"/>
                <w:kern w:val="0"/>
                <w:sz w:val="24"/>
                <w:szCs w:val="24"/>
                <w:vertAlign w:val="superscript"/>
              </w:rPr>
              <w:t>2</w:t>
            </w:r>
            <w:r>
              <w:rPr>
                <w:rFonts w:ascii="Times New Roman" w:hAnsi="Times New Roman" w:eastAsia="宋体" w:cs="Times New Roman"/>
                <w:kern w:val="0"/>
                <w:sz w:val="24"/>
                <w:szCs w:val="24"/>
              </w:rPr>
              <w:t>，建设6万吨</w:t>
            </w:r>
            <w:r>
              <w:rPr>
                <w:rFonts w:hint="eastAsia" w:ascii="Times New Roman" w:hAnsi="Times New Roman" w:eastAsia="宋体" w:cs="Times New Roman"/>
                <w:kern w:val="0"/>
                <w:sz w:val="24"/>
                <w:szCs w:val="24"/>
              </w:rPr>
              <w:t>/年的商品煤储配运中心。</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根据《中华人民共和国环境影响评价法》、《建设项目环境保护管理条例》、《建设项目环境影响评价分类管理名录》（</w:t>
            </w:r>
            <w:r>
              <w:rPr>
                <w:rFonts w:ascii="Times New Roman" w:hAnsi="Times New Roman" w:eastAsia="宋体" w:cs="Times New Roman"/>
                <w:kern w:val="0"/>
                <w:sz w:val="24"/>
                <w:szCs w:val="24"/>
              </w:rPr>
              <w:t>2021年1月1日施行）的有关规定，该项目属“</w:t>
            </w:r>
            <w:r>
              <w:rPr>
                <w:rFonts w:hint="eastAsia" w:ascii="Times New Roman" w:hAnsi="Times New Roman" w:eastAsia="宋体" w:cs="Times New Roman"/>
                <w:kern w:val="0"/>
                <w:sz w:val="24"/>
                <w:szCs w:val="24"/>
              </w:rPr>
              <w:t>四、煤炭开采和洗选业</w:t>
            </w:r>
            <w:r>
              <w:rPr>
                <w:rFonts w:ascii="Times New Roman" w:hAnsi="Times New Roman" w:eastAsia="宋体" w:cs="Times New Roman"/>
                <w:kern w:val="0"/>
                <w:sz w:val="24"/>
                <w:szCs w:val="24"/>
              </w:rPr>
              <w:t>06；6.烟煤和无烟煤开采洗选069、其他煤炭采选中的煤炭储存、集运”</w:t>
            </w:r>
            <w:r>
              <w:rPr>
                <w:rFonts w:hint="eastAsia" w:ascii="Times New Roman" w:hAnsi="Times New Roman" w:eastAsia="宋体" w:cs="Times New Roman"/>
                <w:kern w:val="0"/>
                <w:sz w:val="24"/>
                <w:szCs w:val="24"/>
              </w:rPr>
              <w:t>项目需</w:t>
            </w:r>
            <w:r>
              <w:rPr>
                <w:rFonts w:ascii="Times New Roman" w:hAnsi="Times New Roman" w:eastAsia="宋体" w:cs="Times New Roman"/>
                <w:kern w:val="0"/>
                <w:sz w:val="24"/>
                <w:szCs w:val="24"/>
              </w:rPr>
              <w:t>进行环境影响评价，编制环境影响报告表。为此，建设单位委托我公司承担</w:t>
            </w:r>
            <w:r>
              <w:rPr>
                <w:rFonts w:hint="eastAsia" w:ascii="Times New Roman" w:hAnsi="Times New Roman" w:eastAsia="宋体" w:cs="Times New Roman"/>
                <w:kern w:val="0"/>
                <w:sz w:val="24"/>
                <w:szCs w:val="24"/>
              </w:rPr>
              <w:t>“郴州茂鑫贸易有限公司煤坪堆场建设项目”</w:t>
            </w:r>
            <w:r>
              <w:rPr>
                <w:rFonts w:ascii="Times New Roman" w:hAnsi="Times New Roman" w:eastAsia="宋体" w:cs="Times New Roman"/>
                <w:kern w:val="0"/>
                <w:sz w:val="24"/>
                <w:szCs w:val="24"/>
              </w:rPr>
              <w:t>的环境影响评价工作。</w:t>
            </w:r>
            <w:r>
              <w:rPr>
                <w:rFonts w:hint="eastAsia" w:ascii="Times New Roman" w:hAnsi="Times New Roman" w:eastAsia="宋体" w:cs="Times New Roman"/>
                <w:kern w:val="0"/>
                <w:sz w:val="24"/>
                <w:szCs w:val="24"/>
              </w:rPr>
              <w:t>湖南迎霖环保科技有限公司</w:t>
            </w:r>
            <w:r>
              <w:rPr>
                <w:rFonts w:ascii="Times New Roman" w:hAnsi="Times New Roman" w:eastAsia="宋体" w:cs="Times New Roman"/>
                <w:kern w:val="0"/>
                <w:sz w:val="24"/>
                <w:szCs w:val="24"/>
              </w:rPr>
              <w:t>接受委托后，立即组织技术人员进行现场踏勘，同时根据项目的工程特征和项目建设区域的环境状况，对项目环境影响</w:t>
            </w:r>
            <w:r>
              <w:rPr>
                <w:rFonts w:hint="eastAsia" w:ascii="Times New Roman" w:hAnsi="Times New Roman" w:eastAsia="宋体" w:cs="Times New Roman"/>
                <w:kern w:val="0"/>
                <w:sz w:val="24"/>
                <w:szCs w:val="24"/>
              </w:rPr>
              <w:t>因素进行了识别和筛选，在此基础上编制了本项目环境影响报告表，供建设单位上报审批。</w:t>
            </w:r>
          </w:p>
          <w:p>
            <w:pPr>
              <w:spacing w:line="360" w:lineRule="auto"/>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2、项目建设内容</w:t>
            </w:r>
          </w:p>
          <w:p>
            <w:pPr>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本项目占地面积7</w:t>
            </w:r>
            <w:r>
              <w:rPr>
                <w:rFonts w:ascii="Times New Roman" w:hAnsi="Times New Roman" w:eastAsia="宋体" w:cs="Times New Roman"/>
                <w:kern w:val="0"/>
                <w:sz w:val="24"/>
                <w:szCs w:val="24"/>
              </w:rPr>
              <w:t>070m</w:t>
            </w:r>
            <w:r>
              <w:rPr>
                <w:rFonts w:ascii="Times New Roman" w:hAnsi="Times New Roman" w:eastAsia="宋体" w:cs="Times New Roman"/>
                <w:kern w:val="0"/>
                <w:sz w:val="24"/>
                <w:szCs w:val="24"/>
                <w:vertAlign w:val="superscript"/>
              </w:rPr>
              <w:t>2</w:t>
            </w:r>
            <w:r>
              <w:rPr>
                <w:rFonts w:hint="eastAsia" w:ascii="Times New Roman" w:hAnsi="Times New Roman" w:eastAsia="宋体" w:cs="Times New Roman"/>
                <w:kern w:val="0"/>
                <w:sz w:val="24"/>
                <w:szCs w:val="24"/>
              </w:rPr>
              <w:t>，建设内容包括储煤场、办公室、泵房和其他辅助措施，建设</w:t>
            </w:r>
            <w:r>
              <w:rPr>
                <w:rFonts w:ascii="Times New Roman" w:hAnsi="Times New Roman" w:eastAsia="宋体" w:cs="Times New Roman"/>
                <w:kern w:val="0"/>
                <w:sz w:val="24"/>
                <w:szCs w:val="24"/>
              </w:rPr>
              <w:t>6万吨</w:t>
            </w:r>
            <w:r>
              <w:rPr>
                <w:rFonts w:hint="eastAsia" w:ascii="Times New Roman" w:hAnsi="Times New Roman" w:eastAsia="宋体" w:cs="Times New Roman"/>
                <w:kern w:val="0"/>
                <w:sz w:val="24"/>
                <w:szCs w:val="24"/>
              </w:rPr>
              <w:t>/年的商品煤储配运中心。项目建设内容情况如下表所示：</w:t>
            </w:r>
          </w:p>
          <w:p>
            <w:pPr>
              <w:keepNext/>
              <w:spacing w:line="360" w:lineRule="auto"/>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表2</w:t>
            </w:r>
            <w:r>
              <w:rPr>
                <w:rFonts w:ascii="Times New Roman" w:hAnsi="Times New Roman" w:eastAsia="宋体" w:cs="Times New Roman"/>
                <w:b/>
                <w:bCs/>
                <w:kern w:val="0"/>
                <w:sz w:val="24"/>
                <w:szCs w:val="24"/>
              </w:rPr>
              <w:t xml:space="preserve">-1 </w:t>
            </w:r>
            <w:r>
              <w:rPr>
                <w:rFonts w:hint="eastAsia" w:ascii="Times New Roman" w:hAnsi="Times New Roman" w:eastAsia="宋体" w:cs="Times New Roman"/>
                <w:b/>
                <w:bCs/>
                <w:kern w:val="0"/>
                <w:sz w:val="24"/>
                <w:szCs w:val="24"/>
              </w:rPr>
              <w:t>建设内容一览表</w:t>
            </w:r>
          </w:p>
          <w:tbl>
            <w:tblPr>
              <w:tblStyle w:val="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973"/>
              <w:gridCol w:w="5792"/>
              <w:gridCol w:w="8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Borders>
                    <w:top w:val="single" w:color="auto" w:sz="12" w:space="0"/>
                    <w:left w:val="single" w:color="auto" w:sz="12"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
                      <w:iCs/>
                      <w:kern w:val="0"/>
                    </w:rPr>
                  </w:pPr>
                  <w:r>
                    <w:rPr>
                      <w:rFonts w:hint="eastAsia" w:ascii="Times New Roman" w:hAnsi="Times New Roman" w:eastAsia="宋体" w:cs="Times New Roman"/>
                      <w:b/>
                      <w:iCs/>
                      <w:kern w:val="0"/>
                    </w:rPr>
                    <w:t>工程分类</w:t>
                  </w:r>
                </w:p>
              </w:tc>
              <w:tc>
                <w:tcPr>
                  <w:tcW w:w="580" w:type="pct"/>
                  <w:tcBorders>
                    <w:top w:val="single" w:color="auto" w:sz="12"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
                      <w:iCs/>
                      <w:kern w:val="0"/>
                    </w:rPr>
                  </w:pPr>
                  <w:r>
                    <w:rPr>
                      <w:rFonts w:hint="eastAsia" w:ascii="Times New Roman" w:hAnsi="Times New Roman" w:eastAsia="宋体" w:cs="Times New Roman"/>
                      <w:b/>
                      <w:iCs/>
                      <w:kern w:val="0"/>
                    </w:rPr>
                    <w:t>项目名称</w:t>
                  </w:r>
                </w:p>
              </w:tc>
              <w:tc>
                <w:tcPr>
                  <w:tcW w:w="3454" w:type="pct"/>
                  <w:tcBorders>
                    <w:top w:val="single" w:color="auto" w:sz="12"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
                      <w:iCs/>
                      <w:kern w:val="0"/>
                    </w:rPr>
                  </w:pPr>
                  <w:r>
                    <w:rPr>
                      <w:rFonts w:hint="eastAsia" w:ascii="Times New Roman" w:hAnsi="Times New Roman" w:eastAsia="宋体" w:cs="Times New Roman"/>
                      <w:b/>
                      <w:iCs/>
                      <w:kern w:val="0"/>
                    </w:rPr>
                    <w:t>建设内容及规模</w:t>
                  </w:r>
                </w:p>
              </w:tc>
              <w:tc>
                <w:tcPr>
                  <w:tcW w:w="524" w:type="pct"/>
                  <w:tcBorders>
                    <w:top w:val="single" w:color="auto" w:sz="12"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
                      <w:iCs/>
                      <w:kern w:val="0"/>
                    </w:rPr>
                  </w:pPr>
                  <w:r>
                    <w:rPr>
                      <w:rFonts w:hint="eastAsia" w:ascii="Times New Roman" w:hAnsi="Times New Roman" w:eastAsia="宋体" w:cs="Times New Roman"/>
                      <w:b/>
                      <w:iCs/>
                      <w:kern w:val="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442" w:type="pct"/>
                  <w:tcBorders>
                    <w:top w:val="single" w:color="auto" w:sz="4" w:space="0"/>
                    <w:left w:val="single" w:color="auto" w:sz="12"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主体工程</w:t>
                  </w:r>
                </w:p>
              </w:tc>
              <w:tc>
                <w:tcPr>
                  <w:tcW w:w="580"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储煤场</w:t>
                  </w:r>
                </w:p>
              </w:tc>
              <w:tc>
                <w:tcPr>
                  <w:tcW w:w="345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钢结构厂房，占地面积</w:t>
                  </w:r>
                  <w:r>
                    <w:rPr>
                      <w:rFonts w:ascii="Times New Roman" w:hAnsi="Times New Roman" w:eastAsia="宋体" w:cs="Times New Roman"/>
                      <w:bCs/>
                      <w:iCs/>
                      <w:kern w:val="0"/>
                    </w:rPr>
                    <w:t>3240m</w:t>
                  </w:r>
                  <w:r>
                    <w:rPr>
                      <w:rFonts w:ascii="Times New Roman" w:hAnsi="Times New Roman" w:eastAsia="宋体" w:cs="Times New Roman"/>
                      <w:bCs/>
                      <w:iCs/>
                      <w:kern w:val="0"/>
                      <w:vertAlign w:val="superscript"/>
                    </w:rPr>
                    <w:t>2</w:t>
                  </w:r>
                  <w:r>
                    <w:rPr>
                      <w:rFonts w:hint="eastAsia" w:ascii="Times New Roman" w:hAnsi="Times New Roman" w:eastAsia="宋体" w:cs="Times New Roman"/>
                      <w:bCs/>
                      <w:iCs/>
                      <w:kern w:val="0"/>
                    </w:rPr>
                    <w:t>；厂区四面围挡，地面硬化，仅保留进出口一面未密闭</w:t>
                  </w:r>
                  <w:r>
                    <w:rPr>
                      <w:rFonts w:ascii="Times New Roman" w:hAnsi="Times New Roman" w:eastAsia="宋体" w:cs="Times New Roman"/>
                      <w:bCs/>
                      <w:iCs/>
                      <w:kern w:val="0"/>
                    </w:rPr>
                    <w:t xml:space="preserve"> </w:t>
                  </w:r>
                </w:p>
              </w:tc>
              <w:tc>
                <w:tcPr>
                  <w:tcW w:w="524" w:type="pct"/>
                  <w:tcBorders>
                    <w:top w:val="single" w:color="auto" w:sz="4" w:space="0"/>
                    <w:left w:val="single" w:color="auto" w:sz="4" w:space="0"/>
                    <w:bottom w:val="single" w:color="auto" w:sz="4" w:space="0"/>
                    <w:right w:val="single" w:color="auto" w:sz="4" w:space="0"/>
                  </w:tcBorders>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42" w:type="pct"/>
                  <w:vMerge w:val="restart"/>
                  <w:tcBorders>
                    <w:top w:val="single" w:color="auto" w:sz="4" w:space="0"/>
                    <w:left w:val="single" w:color="auto" w:sz="12"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辅助工程</w:t>
                  </w:r>
                </w:p>
              </w:tc>
              <w:tc>
                <w:tcPr>
                  <w:tcW w:w="580"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办公室</w:t>
                  </w:r>
                </w:p>
              </w:tc>
              <w:tc>
                <w:tcPr>
                  <w:tcW w:w="345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占地面积</w:t>
                  </w:r>
                  <w:r>
                    <w:rPr>
                      <w:rFonts w:ascii="Times New Roman" w:hAnsi="Times New Roman" w:eastAsia="宋体" w:cs="Times New Roman"/>
                      <w:bCs/>
                      <w:iCs/>
                      <w:kern w:val="0"/>
                    </w:rPr>
                    <w:t>40m</w:t>
                  </w:r>
                  <w:r>
                    <w:rPr>
                      <w:rFonts w:ascii="Times New Roman" w:hAnsi="Times New Roman" w:eastAsia="宋体" w:cs="Times New Roman"/>
                      <w:bCs/>
                      <w:iCs/>
                      <w:kern w:val="0"/>
                      <w:vertAlign w:val="superscript"/>
                    </w:rPr>
                    <w:t>2</w:t>
                  </w:r>
                  <w:r>
                    <w:rPr>
                      <w:rFonts w:hint="eastAsia" w:ascii="Times New Roman" w:hAnsi="Times New Roman" w:eastAsia="宋体" w:cs="Times New Roman"/>
                      <w:bCs/>
                      <w:iCs/>
                      <w:kern w:val="0"/>
                    </w:rPr>
                    <w:t>，1栋1</w:t>
                  </w:r>
                  <w:r>
                    <w:rPr>
                      <w:rFonts w:ascii="Times New Roman" w:hAnsi="Times New Roman" w:eastAsia="宋体" w:cs="Times New Roman"/>
                      <w:bCs/>
                      <w:iCs/>
                      <w:kern w:val="0"/>
                    </w:rPr>
                    <w:t>F</w:t>
                  </w:r>
                  <w:r>
                    <w:rPr>
                      <w:rFonts w:hint="eastAsia" w:ascii="Times New Roman" w:hAnsi="Times New Roman" w:eastAsia="宋体" w:cs="Times New Roman"/>
                      <w:bCs/>
                      <w:iCs/>
                      <w:kern w:val="0"/>
                    </w:rPr>
                    <w:t>，砖混结构，主要用于客户接待、职工办公和临时休息的场所</w:t>
                  </w:r>
                </w:p>
              </w:tc>
              <w:tc>
                <w:tcPr>
                  <w:tcW w:w="52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42" w:type="pct"/>
                  <w:vMerge w:val="continue"/>
                  <w:tcBorders>
                    <w:left w:val="single" w:color="auto" w:sz="12"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p>
              </w:tc>
              <w:tc>
                <w:tcPr>
                  <w:tcW w:w="580"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磅房</w:t>
                  </w:r>
                </w:p>
              </w:tc>
              <w:tc>
                <w:tcPr>
                  <w:tcW w:w="345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占地面积约1</w:t>
                  </w:r>
                  <w:r>
                    <w:rPr>
                      <w:rFonts w:ascii="Times New Roman" w:hAnsi="Times New Roman" w:eastAsia="宋体" w:cs="Times New Roman"/>
                      <w:bCs/>
                      <w:iCs/>
                      <w:kern w:val="0"/>
                    </w:rPr>
                    <w:t>0m</w:t>
                  </w:r>
                  <w:r>
                    <w:rPr>
                      <w:rFonts w:ascii="Times New Roman" w:hAnsi="Times New Roman" w:eastAsia="宋体" w:cs="Times New Roman"/>
                      <w:bCs/>
                      <w:iCs/>
                      <w:kern w:val="0"/>
                      <w:vertAlign w:val="superscript"/>
                    </w:rPr>
                    <w:t>2</w:t>
                  </w:r>
                  <w:r>
                    <w:rPr>
                      <w:rFonts w:hint="eastAsia" w:ascii="Times New Roman" w:hAnsi="Times New Roman" w:eastAsia="宋体" w:cs="Times New Roman"/>
                      <w:bCs/>
                      <w:iCs/>
                      <w:kern w:val="0"/>
                    </w:rPr>
                    <w:t>，靠近厂区出入口。设置一地磅，对进出场车辆进行载重称重</w:t>
                  </w:r>
                </w:p>
              </w:tc>
              <w:tc>
                <w:tcPr>
                  <w:tcW w:w="52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42" w:type="pct"/>
                  <w:vMerge w:val="continue"/>
                  <w:tcBorders>
                    <w:left w:val="single" w:color="auto" w:sz="12"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p>
              </w:tc>
              <w:tc>
                <w:tcPr>
                  <w:tcW w:w="580"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其他辅助区域</w:t>
                  </w:r>
                </w:p>
              </w:tc>
              <w:tc>
                <w:tcPr>
                  <w:tcW w:w="345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占地面积约为3</w:t>
                  </w:r>
                  <w:r>
                    <w:rPr>
                      <w:rFonts w:ascii="Times New Roman" w:hAnsi="Times New Roman" w:eastAsia="宋体" w:cs="Times New Roman"/>
                      <w:bCs/>
                      <w:iCs/>
                      <w:kern w:val="0"/>
                    </w:rPr>
                    <w:t>780 m</w:t>
                  </w:r>
                  <w:r>
                    <w:rPr>
                      <w:rFonts w:ascii="Times New Roman" w:hAnsi="Times New Roman" w:eastAsia="宋体" w:cs="Times New Roman"/>
                      <w:bCs/>
                      <w:iCs/>
                      <w:kern w:val="0"/>
                      <w:vertAlign w:val="superscript"/>
                    </w:rPr>
                    <w:t>2</w:t>
                  </w:r>
                  <w:r>
                    <w:rPr>
                      <w:rFonts w:hint="eastAsia" w:ascii="Times New Roman" w:hAnsi="Times New Roman" w:eastAsia="宋体" w:cs="Times New Roman"/>
                      <w:bCs/>
                      <w:iCs/>
                      <w:kern w:val="0"/>
                    </w:rPr>
                    <w:t>，全部进行地坪硬化</w:t>
                  </w:r>
                </w:p>
              </w:tc>
              <w:tc>
                <w:tcPr>
                  <w:tcW w:w="52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42" w:type="pct"/>
                  <w:vMerge w:val="restart"/>
                  <w:tcBorders>
                    <w:left w:val="single" w:color="auto" w:sz="12"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公用工程</w:t>
                  </w:r>
                </w:p>
              </w:tc>
              <w:tc>
                <w:tcPr>
                  <w:tcW w:w="580"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给水工程</w:t>
                  </w:r>
                </w:p>
              </w:tc>
              <w:tc>
                <w:tcPr>
                  <w:tcW w:w="345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项目用水主要为职工的生活用水和喷淋用水，项目的给水主要来源于当地农村生活用水管网</w:t>
                  </w:r>
                </w:p>
              </w:tc>
              <w:tc>
                <w:tcPr>
                  <w:tcW w:w="52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42" w:type="pct"/>
                  <w:vMerge w:val="continue"/>
                  <w:tcBorders>
                    <w:left w:val="single" w:color="auto" w:sz="12"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p>
              </w:tc>
              <w:tc>
                <w:tcPr>
                  <w:tcW w:w="580"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排水工程</w:t>
                  </w:r>
                </w:p>
              </w:tc>
              <w:tc>
                <w:tcPr>
                  <w:tcW w:w="345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厂区实行雨污分流，雨水收集后用于厂区洒水降尘补充用水；生活废水经化粪池预处理后用于周边农灌</w:t>
                  </w:r>
                </w:p>
              </w:tc>
              <w:tc>
                <w:tcPr>
                  <w:tcW w:w="52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42" w:type="pct"/>
                  <w:vMerge w:val="continue"/>
                  <w:tcBorders>
                    <w:left w:val="single" w:color="auto" w:sz="12"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p>
              </w:tc>
              <w:tc>
                <w:tcPr>
                  <w:tcW w:w="580"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供电工程</w:t>
                  </w:r>
                </w:p>
              </w:tc>
              <w:tc>
                <w:tcPr>
                  <w:tcW w:w="345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接入当地市政电网</w:t>
                  </w:r>
                </w:p>
              </w:tc>
              <w:tc>
                <w:tcPr>
                  <w:tcW w:w="52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42" w:type="pct"/>
                  <w:vMerge w:val="continue"/>
                  <w:tcBorders>
                    <w:left w:val="single" w:color="auto" w:sz="12"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p>
              </w:tc>
              <w:tc>
                <w:tcPr>
                  <w:tcW w:w="580"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供热</w:t>
                  </w:r>
                </w:p>
              </w:tc>
              <w:tc>
                <w:tcPr>
                  <w:tcW w:w="345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项目内部供热全部采用电能</w:t>
                  </w:r>
                </w:p>
              </w:tc>
              <w:tc>
                <w:tcPr>
                  <w:tcW w:w="52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42" w:type="pct"/>
                  <w:vMerge w:val="restart"/>
                  <w:tcBorders>
                    <w:left w:val="single" w:color="auto" w:sz="12"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环保工程</w:t>
                  </w:r>
                </w:p>
              </w:tc>
              <w:tc>
                <w:tcPr>
                  <w:tcW w:w="580" w:type="pct"/>
                  <w:vMerge w:val="restart"/>
                  <w:tcBorders>
                    <w:top w:val="single" w:color="auto" w:sz="4" w:space="0"/>
                    <w:left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大气环境</w:t>
                  </w:r>
                </w:p>
              </w:tc>
              <w:tc>
                <w:tcPr>
                  <w:tcW w:w="345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煤炭储存区域粉尘：项目储煤区设置四面围挡封闭式落地棚架结构，储煤区域地面进行硬化处理，同时采取雾炮机等装置进行洒水降尘，加强堆场管理，可有效控制储煤区域扬尘</w:t>
                  </w:r>
                </w:p>
              </w:tc>
              <w:tc>
                <w:tcPr>
                  <w:tcW w:w="52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42" w:type="pct"/>
                  <w:vMerge w:val="continue"/>
                  <w:tcBorders>
                    <w:left w:val="single" w:color="auto" w:sz="12"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p>
              </w:tc>
              <w:tc>
                <w:tcPr>
                  <w:tcW w:w="580" w:type="pct"/>
                  <w:vMerge w:val="continue"/>
                  <w:tcBorders>
                    <w:left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p>
              </w:tc>
              <w:tc>
                <w:tcPr>
                  <w:tcW w:w="345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装卸扬尘：洒水降尘</w:t>
                  </w:r>
                </w:p>
              </w:tc>
              <w:tc>
                <w:tcPr>
                  <w:tcW w:w="52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42" w:type="pct"/>
                  <w:vMerge w:val="continue"/>
                  <w:tcBorders>
                    <w:left w:val="single" w:color="auto" w:sz="12"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p>
              </w:tc>
              <w:tc>
                <w:tcPr>
                  <w:tcW w:w="580" w:type="pct"/>
                  <w:vMerge w:val="continue"/>
                  <w:tcBorders>
                    <w:left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p>
              </w:tc>
              <w:tc>
                <w:tcPr>
                  <w:tcW w:w="345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运输扬尘：场地内进行硬化；在车辆进出口设置洗车槽清洗进出车辆的车轮；运输过程中车辆采取封闭措施遮盖运输煤炭</w:t>
                  </w:r>
                </w:p>
              </w:tc>
              <w:tc>
                <w:tcPr>
                  <w:tcW w:w="52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42" w:type="pct"/>
                  <w:vMerge w:val="continue"/>
                  <w:tcBorders>
                    <w:left w:val="single" w:color="auto" w:sz="12"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p>
              </w:tc>
              <w:tc>
                <w:tcPr>
                  <w:tcW w:w="580" w:type="pct"/>
                  <w:tcBorders>
                    <w:left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水环境</w:t>
                  </w:r>
                </w:p>
              </w:tc>
              <w:tc>
                <w:tcPr>
                  <w:tcW w:w="345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rPr>
                      <w:rFonts w:ascii="Times New Roman" w:hAnsi="Times New Roman" w:eastAsia="宋体" w:cs="Times New Roman"/>
                      <w:bCs/>
                      <w:iCs/>
                      <w:kern w:val="0"/>
                    </w:rPr>
                  </w:pPr>
                  <w:r>
                    <w:rPr>
                      <w:rFonts w:hint="eastAsia" w:ascii="Times New Roman" w:hAnsi="Times New Roman" w:eastAsia="宋体" w:cs="Times New Roman"/>
                      <w:bCs/>
                      <w:iCs/>
                      <w:kern w:val="0"/>
                    </w:rPr>
                    <w:t>厂区实行雨污分流制度；生活废水经过化粪池预处理后用于周边农灌，不外排；车辆车轮清洗废水经过沉淀池（容积为5</w:t>
                  </w:r>
                  <w:r>
                    <w:rPr>
                      <w:rFonts w:ascii="Times New Roman" w:hAnsi="Times New Roman" w:eastAsia="宋体" w:cs="Times New Roman"/>
                      <w:bCs/>
                      <w:iCs/>
                      <w:kern w:val="0"/>
                    </w:rPr>
                    <w:t>6 m</w:t>
                  </w:r>
                  <w:r>
                    <w:rPr>
                      <w:rFonts w:ascii="Times New Roman" w:hAnsi="Times New Roman" w:eastAsia="宋体" w:cs="Times New Roman"/>
                      <w:bCs/>
                      <w:iCs/>
                      <w:kern w:val="0"/>
                      <w:vertAlign w:val="superscript"/>
                    </w:rPr>
                    <w:t>3</w:t>
                  </w:r>
                  <w:r>
                    <w:rPr>
                      <w:rFonts w:hint="eastAsia" w:ascii="Times New Roman" w:hAnsi="Times New Roman" w:eastAsia="宋体" w:cs="Times New Roman"/>
                      <w:bCs/>
                      <w:iCs/>
                      <w:kern w:val="0"/>
                    </w:rPr>
                    <w:t>）沉淀后循环使用，不外排；场内初期雨水经过西北侧低洼处设置的初期雨水池（容积为3</w:t>
                  </w:r>
                  <w:r>
                    <w:rPr>
                      <w:rFonts w:ascii="Times New Roman" w:hAnsi="Times New Roman" w:eastAsia="宋体" w:cs="Times New Roman"/>
                      <w:bCs/>
                      <w:iCs/>
                      <w:kern w:val="0"/>
                    </w:rPr>
                    <w:t>00m</w:t>
                  </w:r>
                  <w:r>
                    <w:rPr>
                      <w:rFonts w:ascii="Times New Roman" w:hAnsi="Times New Roman" w:eastAsia="宋体" w:cs="Times New Roman"/>
                      <w:bCs/>
                      <w:iCs/>
                      <w:kern w:val="0"/>
                      <w:vertAlign w:val="superscript"/>
                    </w:rPr>
                    <w:t>3</w:t>
                  </w:r>
                  <w:r>
                    <w:rPr>
                      <w:rFonts w:hint="eastAsia" w:ascii="Times New Roman" w:hAnsi="Times New Roman" w:eastAsia="宋体" w:cs="Times New Roman"/>
                      <w:bCs/>
                      <w:iCs/>
                      <w:kern w:val="0"/>
                    </w:rPr>
                    <w:t>），部分初期雨水可用于厂区洒水降尘，多余部分沉淀后外排。</w:t>
                  </w:r>
                </w:p>
              </w:tc>
              <w:tc>
                <w:tcPr>
                  <w:tcW w:w="52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42" w:type="pct"/>
                  <w:vMerge w:val="continue"/>
                  <w:tcBorders>
                    <w:left w:val="single" w:color="auto" w:sz="12"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p>
              </w:tc>
              <w:tc>
                <w:tcPr>
                  <w:tcW w:w="580" w:type="pct"/>
                  <w:tcBorders>
                    <w:left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声环境</w:t>
                  </w:r>
                </w:p>
              </w:tc>
              <w:tc>
                <w:tcPr>
                  <w:tcW w:w="345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选用低噪设备，合理布局设备位置</w:t>
                  </w:r>
                </w:p>
              </w:tc>
              <w:tc>
                <w:tcPr>
                  <w:tcW w:w="524" w:type="pct"/>
                  <w:tcBorders>
                    <w:top w:val="single" w:color="auto" w:sz="4" w:space="0"/>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42" w:type="pct"/>
                  <w:vMerge w:val="continue"/>
                  <w:tcBorders>
                    <w:left w:val="single" w:color="auto" w:sz="12"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p>
              </w:tc>
              <w:tc>
                <w:tcPr>
                  <w:tcW w:w="580" w:type="pct"/>
                  <w:tcBorders>
                    <w:left w:val="single" w:color="auto" w:sz="4" w:space="0"/>
                    <w:bottom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固体废物</w:t>
                  </w:r>
                </w:p>
              </w:tc>
              <w:tc>
                <w:tcPr>
                  <w:tcW w:w="3454" w:type="pct"/>
                  <w:tcBorders>
                    <w:top w:val="single" w:color="auto" w:sz="4" w:space="0"/>
                    <w:left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生活垃圾集中收集后交由环卫部门定期清运</w:t>
                  </w:r>
                  <w:r>
                    <w:rPr>
                      <w:rFonts w:ascii="Times New Roman" w:hAnsi="Times New Roman" w:eastAsia="宋体" w:cs="Times New Roman"/>
                      <w:bCs/>
                      <w:iCs/>
                      <w:kern w:val="0"/>
                    </w:rPr>
                    <w:t xml:space="preserve"> </w:t>
                  </w:r>
                </w:p>
              </w:tc>
              <w:tc>
                <w:tcPr>
                  <w:tcW w:w="524" w:type="pct"/>
                  <w:tcBorders>
                    <w:top w:val="single" w:color="auto" w:sz="4" w:space="0"/>
                    <w:left w:val="single" w:color="auto" w:sz="4" w:space="0"/>
                    <w:right w:val="single" w:color="auto" w:sz="4" w:space="0"/>
                  </w:tcBorders>
                  <w:vAlign w:val="center"/>
                </w:tcPr>
                <w:p>
                  <w:pPr>
                    <w:widowControl/>
                    <w:snapToGrid w:val="0"/>
                    <w:contextualSpacing/>
                    <w:jc w:val="center"/>
                    <w:rPr>
                      <w:rFonts w:ascii="Times New Roman" w:hAnsi="Times New Roman" w:eastAsia="宋体" w:cs="Times New Roman"/>
                      <w:bCs/>
                      <w:iCs/>
                      <w:kern w:val="0"/>
                    </w:rPr>
                  </w:pPr>
                  <w:r>
                    <w:rPr>
                      <w:rFonts w:hint="eastAsia" w:ascii="Times New Roman" w:hAnsi="Times New Roman" w:eastAsia="宋体" w:cs="Times New Roman"/>
                      <w:bCs/>
                      <w:iCs/>
                      <w:kern w:val="0"/>
                    </w:rPr>
                    <w:t>新建</w:t>
                  </w:r>
                </w:p>
              </w:tc>
            </w:tr>
          </w:tbl>
          <w:p>
            <w:pPr>
              <w:keepNext/>
              <w:spacing w:line="360" w:lineRule="auto"/>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3、原煤来源及产品方案</w:t>
            </w:r>
          </w:p>
          <w:p>
            <w:pPr>
              <w:keepNext/>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本项目原料为原煤，永兴县内煤炭资源丰富，项目原煤来源来自于项目周边各煤矿，通过汽车运输至本项目场地。项目建成后，煤炭储备能力为</w:t>
            </w:r>
            <w:r>
              <w:rPr>
                <w:rFonts w:ascii="Times New Roman" w:hAnsi="Times New Roman" w:eastAsia="宋体" w:cs="Times New Roman"/>
                <w:kern w:val="0"/>
                <w:sz w:val="24"/>
                <w:szCs w:val="24"/>
              </w:rPr>
              <w:t>6</w:t>
            </w:r>
            <w:r>
              <w:rPr>
                <w:rFonts w:hint="eastAsia" w:ascii="Times New Roman" w:hAnsi="Times New Roman" w:eastAsia="宋体" w:cs="Times New Roman"/>
                <w:kern w:val="0"/>
                <w:sz w:val="24"/>
                <w:szCs w:val="24"/>
              </w:rPr>
              <w:t>万吨/年。</w:t>
            </w:r>
          </w:p>
          <w:p>
            <w:pPr>
              <w:keepNext/>
              <w:spacing w:line="360" w:lineRule="auto"/>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表2</w:t>
            </w:r>
            <w:r>
              <w:rPr>
                <w:rFonts w:ascii="Times New Roman" w:hAnsi="Times New Roman" w:eastAsia="宋体" w:cs="Times New Roman"/>
                <w:b/>
                <w:bCs/>
                <w:kern w:val="0"/>
                <w:sz w:val="24"/>
                <w:szCs w:val="24"/>
              </w:rPr>
              <w:t xml:space="preserve">-2 </w:t>
            </w:r>
            <w:r>
              <w:rPr>
                <w:rFonts w:hint="eastAsia" w:ascii="Times New Roman" w:hAnsi="Times New Roman" w:eastAsia="宋体" w:cs="Times New Roman"/>
                <w:b/>
                <w:bCs/>
                <w:kern w:val="0"/>
                <w:sz w:val="24"/>
                <w:szCs w:val="24"/>
              </w:rPr>
              <w:t>项目原辅材料用量一览表</w:t>
            </w:r>
          </w:p>
          <w:tbl>
            <w:tblPr>
              <w:tblStyle w:val="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2047"/>
              <w:gridCol w:w="1639"/>
              <w:gridCol w:w="1639"/>
              <w:gridCol w:w="16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30" w:type="dxa"/>
                </w:tcPr>
                <w:p>
                  <w:pPr>
                    <w:keepNext/>
                    <w:jc w:val="center"/>
                    <w:rPr>
                      <w:rFonts w:ascii="Times New Roman" w:hAnsi="Times New Roman" w:eastAsia="宋体" w:cs="Times New Roman"/>
                      <w:b/>
                      <w:bCs/>
                      <w:szCs w:val="21"/>
                    </w:rPr>
                  </w:pPr>
                  <w:r>
                    <w:rPr>
                      <w:rFonts w:hint="eastAsia" w:ascii="Times New Roman" w:hAnsi="Times New Roman" w:eastAsia="宋体" w:cs="Times New Roman"/>
                      <w:b/>
                      <w:bCs/>
                      <w:szCs w:val="21"/>
                    </w:rPr>
                    <w:t>序号</w:t>
                  </w:r>
                </w:p>
              </w:tc>
              <w:tc>
                <w:tcPr>
                  <w:tcW w:w="2047" w:type="dxa"/>
                </w:tcPr>
                <w:p>
                  <w:pPr>
                    <w:keepNext/>
                    <w:jc w:val="center"/>
                    <w:rPr>
                      <w:rFonts w:ascii="Times New Roman" w:hAnsi="Times New Roman" w:eastAsia="宋体" w:cs="Times New Roman"/>
                      <w:b/>
                      <w:bCs/>
                      <w:szCs w:val="21"/>
                    </w:rPr>
                  </w:pPr>
                  <w:r>
                    <w:rPr>
                      <w:rFonts w:hint="eastAsia" w:ascii="Times New Roman" w:hAnsi="Times New Roman" w:eastAsia="宋体" w:cs="Times New Roman"/>
                      <w:b/>
                      <w:bCs/>
                      <w:szCs w:val="21"/>
                    </w:rPr>
                    <w:t>名称</w:t>
                  </w:r>
                </w:p>
              </w:tc>
              <w:tc>
                <w:tcPr>
                  <w:tcW w:w="1639" w:type="dxa"/>
                </w:tcPr>
                <w:p>
                  <w:pPr>
                    <w:keepNext/>
                    <w:jc w:val="center"/>
                    <w:rPr>
                      <w:rFonts w:ascii="Times New Roman" w:hAnsi="Times New Roman" w:eastAsia="宋体" w:cs="Times New Roman"/>
                      <w:b/>
                      <w:bCs/>
                      <w:szCs w:val="21"/>
                    </w:rPr>
                  </w:pPr>
                  <w:r>
                    <w:rPr>
                      <w:rFonts w:hint="eastAsia" w:ascii="Times New Roman" w:hAnsi="Times New Roman" w:eastAsia="宋体" w:cs="Times New Roman"/>
                      <w:b/>
                      <w:bCs/>
                      <w:szCs w:val="21"/>
                    </w:rPr>
                    <w:t>单位</w:t>
                  </w:r>
                </w:p>
              </w:tc>
              <w:tc>
                <w:tcPr>
                  <w:tcW w:w="1639" w:type="dxa"/>
                </w:tcPr>
                <w:p>
                  <w:pPr>
                    <w:keepNext/>
                    <w:jc w:val="center"/>
                    <w:rPr>
                      <w:rFonts w:ascii="Times New Roman" w:hAnsi="Times New Roman" w:eastAsia="宋体" w:cs="Times New Roman"/>
                      <w:b/>
                      <w:bCs/>
                      <w:szCs w:val="21"/>
                    </w:rPr>
                  </w:pPr>
                  <w:r>
                    <w:rPr>
                      <w:rFonts w:hint="eastAsia" w:ascii="Times New Roman" w:hAnsi="Times New Roman" w:eastAsia="宋体" w:cs="Times New Roman"/>
                      <w:b/>
                      <w:bCs/>
                      <w:szCs w:val="21"/>
                    </w:rPr>
                    <w:t>数量</w:t>
                  </w:r>
                </w:p>
              </w:tc>
              <w:tc>
                <w:tcPr>
                  <w:tcW w:w="1639" w:type="dxa"/>
                </w:tcPr>
                <w:p>
                  <w:pPr>
                    <w:keepNext/>
                    <w:jc w:val="center"/>
                    <w:rPr>
                      <w:rFonts w:ascii="Times New Roman" w:hAnsi="Times New Roman" w:eastAsia="宋体" w:cs="Times New Roman"/>
                      <w:b/>
                      <w:bCs/>
                      <w:szCs w:val="21"/>
                    </w:rPr>
                  </w:pPr>
                  <w:r>
                    <w:rPr>
                      <w:rFonts w:hint="eastAsia" w:ascii="Times New Roman" w:hAnsi="Times New Roman" w:eastAsia="宋体" w:cs="Times New Roman"/>
                      <w:b/>
                      <w:bCs/>
                      <w:szCs w:val="21"/>
                    </w:rPr>
                    <w:t>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30" w:type="dxa"/>
                </w:tcPr>
                <w:p>
                  <w:pPr>
                    <w:keepNex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2047" w:type="dxa"/>
                </w:tcPr>
                <w:p>
                  <w:pPr>
                    <w:keepNext/>
                    <w:jc w:val="center"/>
                    <w:rPr>
                      <w:rFonts w:ascii="Times New Roman" w:hAnsi="Times New Roman" w:eastAsia="宋体" w:cs="Times New Roman"/>
                      <w:szCs w:val="21"/>
                    </w:rPr>
                  </w:pPr>
                  <w:r>
                    <w:rPr>
                      <w:rFonts w:hint="eastAsia" w:ascii="Times New Roman" w:hAnsi="Times New Roman" w:eastAsia="宋体" w:cs="Times New Roman"/>
                      <w:szCs w:val="21"/>
                    </w:rPr>
                    <w:t>原煤</w:t>
                  </w:r>
                </w:p>
              </w:tc>
              <w:tc>
                <w:tcPr>
                  <w:tcW w:w="1639" w:type="dxa"/>
                </w:tcPr>
                <w:p>
                  <w:pPr>
                    <w:keepNext/>
                    <w:jc w:val="center"/>
                    <w:rPr>
                      <w:rFonts w:ascii="Times New Roman" w:hAnsi="Times New Roman" w:eastAsia="宋体" w:cs="Times New Roman"/>
                      <w:szCs w:val="21"/>
                    </w:rPr>
                  </w:pPr>
                  <w:r>
                    <w:rPr>
                      <w:rFonts w:hint="eastAsia" w:ascii="Times New Roman" w:hAnsi="Times New Roman" w:eastAsia="宋体" w:cs="Times New Roman"/>
                      <w:szCs w:val="21"/>
                    </w:rPr>
                    <w:t>万吨/年</w:t>
                  </w:r>
                </w:p>
              </w:tc>
              <w:tc>
                <w:tcPr>
                  <w:tcW w:w="1639" w:type="dxa"/>
                </w:tcPr>
                <w:p>
                  <w:pPr>
                    <w:keepNext/>
                    <w:jc w:val="center"/>
                    <w:rPr>
                      <w:rFonts w:ascii="Times New Roman" w:hAnsi="Times New Roman" w:eastAsia="宋体" w:cs="Times New Roman"/>
                      <w:szCs w:val="21"/>
                    </w:rPr>
                  </w:pPr>
                  <w:r>
                    <w:rPr>
                      <w:rFonts w:ascii="Times New Roman" w:hAnsi="Times New Roman" w:eastAsia="宋体" w:cs="Times New Roman"/>
                      <w:szCs w:val="21"/>
                    </w:rPr>
                    <w:t>6</w:t>
                  </w:r>
                </w:p>
              </w:tc>
              <w:tc>
                <w:tcPr>
                  <w:tcW w:w="1639" w:type="dxa"/>
                </w:tcPr>
                <w:p>
                  <w:pPr>
                    <w:keepNext/>
                    <w:jc w:val="center"/>
                    <w:rPr>
                      <w:rFonts w:ascii="Times New Roman" w:hAnsi="Times New Roman" w:eastAsia="宋体" w:cs="Times New Roman"/>
                      <w:szCs w:val="21"/>
                    </w:rPr>
                  </w:pPr>
                  <w:r>
                    <w:rPr>
                      <w:rFonts w:hint="eastAsia" w:ascii="Times New Roman" w:hAnsi="Times New Roman" w:eastAsia="宋体" w:cs="Times New Roman"/>
                      <w:szCs w:val="21"/>
                    </w:rPr>
                    <w:t>外购</w:t>
                  </w:r>
                </w:p>
              </w:tc>
            </w:tr>
          </w:tbl>
          <w:p>
            <w:pPr>
              <w:keepNext/>
              <w:spacing w:line="360" w:lineRule="auto"/>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3、主要生产设备情况</w:t>
            </w:r>
          </w:p>
          <w:p>
            <w:pPr>
              <w:keepNext/>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本项目主要生产设备见下表：</w:t>
            </w:r>
          </w:p>
          <w:p>
            <w:pPr>
              <w:keepNext/>
              <w:spacing w:line="360" w:lineRule="auto"/>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表2</w:t>
            </w:r>
            <w:r>
              <w:rPr>
                <w:rFonts w:ascii="Times New Roman" w:hAnsi="Times New Roman" w:eastAsia="宋体" w:cs="Times New Roman"/>
                <w:b/>
                <w:bCs/>
                <w:kern w:val="0"/>
                <w:sz w:val="24"/>
                <w:szCs w:val="24"/>
              </w:rPr>
              <w:t xml:space="preserve">-3 </w:t>
            </w:r>
            <w:r>
              <w:rPr>
                <w:rFonts w:hint="eastAsia" w:ascii="Times New Roman" w:hAnsi="Times New Roman" w:eastAsia="宋体" w:cs="Times New Roman"/>
                <w:b/>
                <w:bCs/>
                <w:kern w:val="0"/>
                <w:sz w:val="24"/>
                <w:szCs w:val="24"/>
              </w:rPr>
              <w:t>主要生产设备一览表</w:t>
            </w:r>
          </w:p>
          <w:tbl>
            <w:tblPr>
              <w:tblStyle w:val="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623"/>
              <w:gridCol w:w="1915"/>
              <w:gridCol w:w="2544"/>
              <w:gridCol w:w="508"/>
              <w:gridCol w:w="1060"/>
              <w:gridCol w:w="173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372" w:type="pct"/>
                  <w:tcBorders>
                    <w:top w:val="single" w:color="000000" w:sz="12" w:space="0"/>
                    <w:left w:val="single" w:color="000000" w:sz="12" w:space="0"/>
                    <w:bottom w:val="single" w:color="000000" w:sz="4" w:space="0"/>
                    <w:right w:val="single" w:color="000000" w:sz="4" w:space="0"/>
                  </w:tcBorders>
                  <w:vAlign w:val="center"/>
                </w:tcPr>
                <w:p>
                  <w:pPr>
                    <w:snapToGrid w:val="0"/>
                    <w:contextualSpacing/>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序号</w:t>
                  </w:r>
                </w:p>
              </w:tc>
              <w:tc>
                <w:tcPr>
                  <w:tcW w:w="1142" w:type="pct"/>
                  <w:tcBorders>
                    <w:top w:val="single" w:color="000000" w:sz="12"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设备名称</w:t>
                  </w:r>
                </w:p>
              </w:tc>
              <w:tc>
                <w:tcPr>
                  <w:tcW w:w="1517" w:type="pct"/>
                  <w:tcBorders>
                    <w:top w:val="single" w:color="000000" w:sz="12"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型号</w:t>
                  </w:r>
                </w:p>
              </w:tc>
              <w:tc>
                <w:tcPr>
                  <w:tcW w:w="303" w:type="pct"/>
                  <w:tcBorders>
                    <w:top w:val="single" w:color="000000" w:sz="12"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单位</w:t>
                  </w:r>
                </w:p>
              </w:tc>
              <w:tc>
                <w:tcPr>
                  <w:tcW w:w="632" w:type="pct"/>
                  <w:tcBorders>
                    <w:top w:val="single" w:color="000000" w:sz="12"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数量</w:t>
                  </w:r>
                </w:p>
              </w:tc>
              <w:tc>
                <w:tcPr>
                  <w:tcW w:w="1034" w:type="pct"/>
                  <w:tcBorders>
                    <w:top w:val="single" w:color="000000" w:sz="12" w:space="0"/>
                    <w:left w:val="single" w:color="000000" w:sz="4" w:space="0"/>
                    <w:bottom w:val="single" w:color="000000" w:sz="4" w:space="0"/>
                    <w:right w:val="single" w:color="000000" w:sz="12" w:space="0"/>
                  </w:tcBorders>
                  <w:vAlign w:val="center"/>
                </w:tcPr>
                <w:p>
                  <w:pPr>
                    <w:snapToGrid w:val="0"/>
                    <w:contextualSpacing/>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372" w:type="pct"/>
                  <w:tcBorders>
                    <w:top w:val="single" w:color="000000" w:sz="4" w:space="0"/>
                    <w:left w:val="single" w:color="000000" w:sz="12" w:space="0"/>
                    <w:bottom w:val="single" w:color="000000" w:sz="4" w:space="0"/>
                    <w:right w:val="single" w:color="000000" w:sz="4" w:space="0"/>
                  </w:tcBorders>
                  <w:vAlign w:val="center"/>
                </w:tcPr>
                <w:p>
                  <w:pPr>
                    <w:snapToGrid w:val="0"/>
                    <w:contextualSpacing/>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142" w:type="pct"/>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铲车</w:t>
                  </w:r>
                </w:p>
              </w:tc>
              <w:tc>
                <w:tcPr>
                  <w:tcW w:w="1517" w:type="pct"/>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303" w:type="pct"/>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台</w:t>
                  </w:r>
                </w:p>
              </w:tc>
              <w:tc>
                <w:tcPr>
                  <w:tcW w:w="632" w:type="pct"/>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1034" w:type="pct"/>
                  <w:tcBorders>
                    <w:top w:val="single" w:color="000000" w:sz="4" w:space="0"/>
                    <w:left w:val="single" w:color="000000" w:sz="4" w:space="0"/>
                    <w:bottom w:val="single" w:color="000000" w:sz="4" w:space="0"/>
                    <w:right w:val="single" w:color="000000" w:sz="12" w:space="0"/>
                  </w:tcBorders>
                  <w:vAlign w:val="center"/>
                </w:tcPr>
                <w:p>
                  <w:pPr>
                    <w:snapToGrid w:val="0"/>
                    <w:contextualSpacing/>
                    <w:jc w:val="center"/>
                    <w:rPr>
                      <w:rFonts w:ascii="Times New Roman" w:hAnsi="Times New Roman" w:eastAsia="宋体" w:cs="Times New Roman"/>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372" w:type="pct"/>
                  <w:tcBorders>
                    <w:top w:val="single" w:color="000000" w:sz="4" w:space="0"/>
                    <w:left w:val="single" w:color="000000" w:sz="12" w:space="0"/>
                    <w:bottom w:val="single" w:color="000000" w:sz="4" w:space="0"/>
                    <w:right w:val="single" w:color="000000" w:sz="4" w:space="0"/>
                  </w:tcBorders>
                  <w:vAlign w:val="center"/>
                </w:tcPr>
                <w:p>
                  <w:pPr>
                    <w:snapToGrid w:val="0"/>
                    <w:contextualSpacing/>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142" w:type="pct"/>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地磅</w:t>
                  </w:r>
                </w:p>
              </w:tc>
              <w:tc>
                <w:tcPr>
                  <w:tcW w:w="1517" w:type="pct"/>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303" w:type="pct"/>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台</w:t>
                  </w:r>
                </w:p>
              </w:tc>
              <w:tc>
                <w:tcPr>
                  <w:tcW w:w="632" w:type="pct"/>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w:t>
                  </w:r>
                </w:p>
              </w:tc>
              <w:tc>
                <w:tcPr>
                  <w:tcW w:w="1034" w:type="pct"/>
                  <w:tcBorders>
                    <w:top w:val="single" w:color="000000" w:sz="4" w:space="0"/>
                    <w:left w:val="single" w:color="000000" w:sz="4" w:space="0"/>
                    <w:bottom w:val="single" w:color="000000" w:sz="4" w:space="0"/>
                    <w:right w:val="single" w:color="000000" w:sz="12" w:space="0"/>
                  </w:tcBorders>
                  <w:vAlign w:val="center"/>
                </w:tcPr>
                <w:p>
                  <w:pPr>
                    <w:snapToGrid w:val="0"/>
                    <w:contextualSpacing/>
                    <w:jc w:val="center"/>
                    <w:rPr>
                      <w:rFonts w:ascii="Times New Roman" w:hAnsi="Times New Roman" w:eastAsia="宋体" w:cs="Times New Roman"/>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372" w:type="pct"/>
                  <w:tcBorders>
                    <w:top w:val="single" w:color="000000" w:sz="4" w:space="0"/>
                    <w:left w:val="single" w:color="000000" w:sz="12" w:space="0"/>
                    <w:bottom w:val="single" w:color="000000" w:sz="4" w:space="0"/>
                    <w:right w:val="single" w:color="000000" w:sz="4" w:space="0"/>
                  </w:tcBorders>
                  <w:vAlign w:val="center"/>
                </w:tcPr>
                <w:p>
                  <w:pPr>
                    <w:snapToGrid w:val="0"/>
                    <w:contextualSpacing/>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142" w:type="pct"/>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运输车辆</w:t>
                  </w:r>
                </w:p>
              </w:tc>
              <w:tc>
                <w:tcPr>
                  <w:tcW w:w="1517" w:type="pct"/>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303" w:type="pct"/>
                  <w:tcBorders>
                    <w:top w:val="single" w:color="000000" w:sz="4" w:space="0"/>
                    <w:left w:val="single" w:color="000000" w:sz="4" w:space="0"/>
                    <w:bottom w:val="single" w:color="000000" w:sz="4" w:space="0"/>
                    <w:right w:val="single" w:color="000000" w:sz="4" w:space="0"/>
                  </w:tcBorders>
                </w:tcPr>
                <w:p>
                  <w:pPr>
                    <w:snapToGrid w:val="0"/>
                    <w:contextualSpacing/>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台</w:t>
                  </w:r>
                </w:p>
              </w:tc>
              <w:tc>
                <w:tcPr>
                  <w:tcW w:w="632" w:type="pct"/>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034" w:type="pct"/>
                  <w:tcBorders>
                    <w:top w:val="single" w:color="000000" w:sz="4" w:space="0"/>
                    <w:left w:val="single" w:color="000000" w:sz="4" w:space="0"/>
                    <w:bottom w:val="single" w:color="000000" w:sz="4" w:space="0"/>
                    <w:right w:val="single" w:color="000000" w:sz="12" w:space="0"/>
                  </w:tcBorders>
                  <w:vAlign w:val="center"/>
                </w:tcPr>
                <w:p>
                  <w:pPr>
                    <w:snapToGrid w:val="0"/>
                    <w:contextualSpacing/>
                    <w:jc w:val="center"/>
                    <w:rPr>
                      <w:rFonts w:ascii="Times New Roman" w:hAnsi="Times New Roman" w:eastAsia="宋体" w:cs="Times New Roman"/>
                      <w:kern w:val="0"/>
                      <w:szCs w:val="21"/>
                    </w:rPr>
                  </w:pPr>
                </w:p>
              </w:tc>
            </w:tr>
          </w:tbl>
          <w:p>
            <w:pPr>
              <w:keepNext/>
              <w:spacing w:line="360" w:lineRule="auto"/>
              <w:ind w:firstLine="482" w:firstLineChars="200"/>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注释：运输车辆不在厂区维修。</w:t>
            </w:r>
          </w:p>
          <w:p>
            <w:pPr>
              <w:keepNext/>
              <w:spacing w:line="360" w:lineRule="auto"/>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4、劳动定额和工作制度</w:t>
            </w:r>
          </w:p>
          <w:p>
            <w:pPr>
              <w:keepNext/>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本项目职工定员</w:t>
            </w:r>
            <w:r>
              <w:rPr>
                <w:rFonts w:ascii="Times New Roman" w:hAnsi="Times New Roman" w:eastAsia="宋体" w:cs="Times New Roman"/>
                <w:kern w:val="0"/>
                <w:sz w:val="24"/>
                <w:szCs w:val="24"/>
              </w:rPr>
              <w:t>10</w:t>
            </w:r>
            <w:r>
              <w:rPr>
                <w:rFonts w:hint="eastAsia" w:ascii="Times New Roman" w:hAnsi="Times New Roman" w:eastAsia="宋体" w:cs="Times New Roman"/>
                <w:kern w:val="0"/>
                <w:sz w:val="24"/>
                <w:szCs w:val="24"/>
              </w:rPr>
              <w:t>人，均为周边村民，不在厂区食宿，职工每天工作8个小时</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夜间不生产）</w:t>
            </w:r>
            <w:r>
              <w:rPr>
                <w:rFonts w:hint="eastAsia" w:ascii="Times New Roman" w:hAnsi="Times New Roman" w:eastAsia="宋体" w:cs="Times New Roman"/>
                <w:kern w:val="0"/>
                <w:sz w:val="24"/>
                <w:szCs w:val="24"/>
              </w:rPr>
              <w:t>，每年工作3</w:t>
            </w:r>
            <w:r>
              <w:rPr>
                <w:rFonts w:ascii="Times New Roman" w:hAnsi="Times New Roman" w:eastAsia="宋体" w:cs="Times New Roman"/>
                <w:kern w:val="0"/>
                <w:sz w:val="24"/>
                <w:szCs w:val="24"/>
              </w:rPr>
              <w:t>00</w:t>
            </w:r>
            <w:r>
              <w:rPr>
                <w:rFonts w:hint="eastAsia" w:ascii="Times New Roman" w:hAnsi="Times New Roman" w:eastAsia="宋体" w:cs="Times New Roman"/>
                <w:kern w:val="0"/>
                <w:sz w:val="24"/>
                <w:szCs w:val="24"/>
              </w:rPr>
              <w:t>天。</w:t>
            </w:r>
          </w:p>
          <w:p>
            <w:pPr>
              <w:keepNext/>
              <w:spacing w:line="360" w:lineRule="auto"/>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5、公用工程</w:t>
            </w:r>
          </w:p>
          <w:p>
            <w:pPr>
              <w:keepNext/>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（1）给水工程</w:t>
            </w:r>
          </w:p>
          <w:p>
            <w:pPr>
              <w:keepNext/>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本项目供水主要来自当地农村生活用水管网，通过自来水管道接入本项目各用水单元，供水水源可靠，可满足项目用水需求。</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生活用水：本项目</w:t>
            </w:r>
            <w:r>
              <w:rPr>
                <w:rFonts w:ascii="Times New Roman" w:hAnsi="Times New Roman" w:eastAsia="宋体" w:cs="Times New Roman"/>
                <w:kern w:val="0"/>
                <w:sz w:val="24"/>
                <w:szCs w:val="24"/>
              </w:rPr>
              <w:t>劳动定员</w:t>
            </w:r>
            <w:r>
              <w:rPr>
                <w:rFonts w:hint="eastAsia" w:ascii="Times New Roman" w:hAnsi="Times New Roman" w:eastAsia="宋体" w:cs="Times New Roman"/>
                <w:kern w:val="0"/>
                <w:sz w:val="24"/>
                <w:szCs w:val="24"/>
              </w:rPr>
              <w:t>10</w:t>
            </w:r>
            <w:r>
              <w:rPr>
                <w:rFonts w:ascii="Times New Roman" w:hAnsi="Times New Roman" w:eastAsia="宋体" w:cs="Times New Roman"/>
                <w:kern w:val="0"/>
                <w:sz w:val="24"/>
                <w:szCs w:val="24"/>
              </w:rPr>
              <w:t>人，</w:t>
            </w:r>
            <w:r>
              <w:rPr>
                <w:rFonts w:hint="eastAsia" w:ascii="Times New Roman" w:hAnsi="Times New Roman" w:eastAsia="宋体" w:cs="Times New Roman"/>
                <w:kern w:val="0"/>
                <w:sz w:val="24"/>
                <w:szCs w:val="24"/>
              </w:rPr>
              <w:t>不在厂区食宿。根据建设方提供资料及参照《湖南省用水定额》（DB43/T388-2020），员工生活用水以每人</w:t>
            </w:r>
            <w:r>
              <w:rPr>
                <w:rFonts w:ascii="Times New Roman" w:hAnsi="Times New Roman" w:eastAsia="宋体" w:cs="Times New Roman"/>
                <w:kern w:val="0"/>
                <w:sz w:val="24"/>
                <w:szCs w:val="24"/>
              </w:rPr>
              <w:t>100</w:t>
            </w:r>
            <w:r>
              <w:rPr>
                <w:rFonts w:hint="eastAsia" w:ascii="Times New Roman" w:hAnsi="Times New Roman" w:eastAsia="宋体" w:cs="Times New Roman"/>
                <w:kern w:val="0"/>
                <w:sz w:val="24"/>
                <w:szCs w:val="24"/>
              </w:rPr>
              <w:t>L/d计，生活用水量</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m</w:t>
            </w:r>
            <w:r>
              <w:rPr>
                <w:rFonts w:hint="eastAsia" w:ascii="Times New Roman" w:hAnsi="Times New Roman" w:eastAsia="宋体" w:cs="Times New Roman"/>
                <w:kern w:val="0"/>
                <w:sz w:val="24"/>
                <w:szCs w:val="24"/>
                <w:vertAlign w:val="superscript"/>
              </w:rPr>
              <w:t>3</w:t>
            </w:r>
            <w:r>
              <w:rPr>
                <w:rFonts w:hint="eastAsia" w:ascii="Times New Roman" w:hAnsi="Times New Roman" w:eastAsia="宋体" w:cs="Times New Roman"/>
                <w:kern w:val="0"/>
                <w:sz w:val="24"/>
                <w:szCs w:val="24"/>
              </w:rPr>
              <w:t>/d，</w:t>
            </w:r>
            <w:r>
              <w:rPr>
                <w:rFonts w:ascii="Times New Roman" w:hAnsi="Times New Roman" w:eastAsia="宋体" w:cs="Times New Roman"/>
                <w:kern w:val="0"/>
                <w:sz w:val="24"/>
                <w:szCs w:val="24"/>
              </w:rPr>
              <w:t>300</w:t>
            </w:r>
            <w:r>
              <w:rPr>
                <w:rFonts w:hint="eastAsia" w:ascii="Times New Roman" w:hAnsi="Times New Roman" w:eastAsia="宋体" w:cs="Times New Roman"/>
                <w:kern w:val="0"/>
                <w:sz w:val="24"/>
                <w:szCs w:val="24"/>
              </w:rPr>
              <w:t>m</w:t>
            </w:r>
            <w:r>
              <w:rPr>
                <w:rFonts w:hint="eastAsia" w:ascii="Times New Roman" w:hAnsi="Times New Roman" w:eastAsia="宋体" w:cs="Times New Roman"/>
                <w:kern w:val="0"/>
                <w:sz w:val="24"/>
                <w:szCs w:val="24"/>
                <w:vertAlign w:val="superscript"/>
              </w:rPr>
              <w:t>3</w:t>
            </w:r>
            <w:r>
              <w:rPr>
                <w:rFonts w:hint="eastAsia" w:ascii="Times New Roman" w:hAnsi="Times New Roman" w:eastAsia="宋体" w:cs="Times New Roman"/>
                <w:kern w:val="0"/>
                <w:sz w:val="24"/>
                <w:szCs w:val="24"/>
              </w:rPr>
              <w:t>/a。</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本项目设置一处洗车台，仅对进出厂区车辆车轮提供清洗服务，不进行整车清洗。根据单位提供资料，运输煤炭车轮为1</w:t>
            </w:r>
            <w:r>
              <w:rPr>
                <w:rFonts w:ascii="Times New Roman" w:hAnsi="Times New Roman" w:eastAsia="宋体" w:cs="Times New Roman"/>
                <w:kern w:val="0"/>
                <w:sz w:val="24"/>
                <w:szCs w:val="24"/>
              </w:rPr>
              <w:t>0</w:t>
            </w:r>
            <w:r>
              <w:rPr>
                <w:rFonts w:hint="eastAsia" w:ascii="Times New Roman" w:hAnsi="Times New Roman" w:eastAsia="宋体" w:cs="Times New Roman"/>
                <w:kern w:val="0"/>
                <w:sz w:val="24"/>
                <w:szCs w:val="24"/>
              </w:rPr>
              <w:t>车次/d，车轮冲洗用水定额为2</w:t>
            </w:r>
            <w:r>
              <w:rPr>
                <w:rFonts w:ascii="Times New Roman" w:hAnsi="Times New Roman" w:eastAsia="宋体" w:cs="Times New Roman"/>
                <w:kern w:val="0"/>
                <w:sz w:val="24"/>
                <w:szCs w:val="24"/>
              </w:rPr>
              <w:t>0L</w:t>
            </w:r>
            <w:r>
              <w:rPr>
                <w:rFonts w:hint="eastAsia" w:ascii="Times New Roman" w:hAnsi="Times New Roman" w:eastAsia="宋体" w:cs="Times New Roman"/>
                <w:kern w:val="0"/>
                <w:sz w:val="24"/>
                <w:szCs w:val="24"/>
              </w:rPr>
              <w:t>/车次，故车辆车轮清洗用水量为0</w:t>
            </w:r>
            <w:r>
              <w:rPr>
                <w:rFonts w:ascii="Times New Roman" w:hAnsi="Times New Roman" w:eastAsia="宋体" w:cs="Times New Roman"/>
                <w:kern w:val="0"/>
                <w:sz w:val="24"/>
                <w:szCs w:val="24"/>
              </w:rPr>
              <w:t>.2m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/d</w:t>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rPr>
              <w:t>20 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a）。</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煤炭区域喷淋及道路洒水的用水量约为0</w:t>
            </w:r>
            <w:r>
              <w:rPr>
                <w:rFonts w:ascii="Times New Roman" w:hAnsi="Times New Roman" w:eastAsia="宋体" w:cs="Times New Roman"/>
                <w:kern w:val="0"/>
                <w:sz w:val="24"/>
                <w:szCs w:val="24"/>
              </w:rPr>
              <w:t>.03 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/d</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9m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a）。</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（2）排水</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本项目采取雨污分流制度，屋檐雨水经过屋檐收集槽收集排入雨水渠后和室外场地雨水经过雨水渠收集一同汇入初期雨水沉淀池（</w:t>
            </w:r>
            <w:r>
              <w:rPr>
                <w:rFonts w:hint="eastAsia" w:ascii="Times New Roman" w:hAnsi="Times New Roman" w:eastAsia="宋体" w:cs="Times New Roman"/>
                <w:bCs/>
                <w:iCs/>
                <w:kern w:val="0"/>
                <w:sz w:val="24"/>
                <w:szCs w:val="24"/>
              </w:rPr>
              <w:t>3</w:t>
            </w:r>
            <w:r>
              <w:rPr>
                <w:rFonts w:ascii="Times New Roman" w:hAnsi="Times New Roman" w:eastAsia="宋体" w:cs="Times New Roman"/>
                <w:bCs/>
                <w:iCs/>
                <w:kern w:val="0"/>
                <w:sz w:val="24"/>
                <w:szCs w:val="24"/>
              </w:rPr>
              <w:t>00</w:t>
            </w:r>
            <w:r>
              <w:rPr>
                <w:rFonts w:ascii="Times New Roman" w:hAnsi="Times New Roman" w:eastAsia="宋体" w:cs="Times New Roman"/>
                <w:kern w:val="0"/>
                <w:sz w:val="24"/>
                <w:szCs w:val="24"/>
              </w:rPr>
              <w:t>m</w:t>
            </w:r>
            <w:r>
              <w:rPr>
                <w:rFonts w:ascii="Times New Roman" w:hAnsi="Times New Roman" w:eastAsia="宋体" w:cs="Times New Roman"/>
                <w:kern w:val="0"/>
                <w:sz w:val="24"/>
                <w:szCs w:val="24"/>
                <w:vertAlign w:val="superscript"/>
              </w:rPr>
              <w:t>3</w:t>
            </w:r>
            <w:r>
              <w:rPr>
                <w:rFonts w:hint="eastAsia" w:ascii="Times New Roman" w:hAnsi="Times New Roman" w:eastAsia="宋体" w:cs="Times New Roman"/>
                <w:kern w:val="0"/>
                <w:sz w:val="24"/>
                <w:szCs w:val="24"/>
              </w:rPr>
              <w:t>大小），部分初期雨水可用于厂区洒水降尘，多余部分沉淀后外排。</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员工生活废水，配套设置有废水处理系统，按</w:t>
            </w:r>
            <w:r>
              <w:rPr>
                <w:rFonts w:ascii="Times New Roman" w:hAnsi="Times New Roman" w:eastAsia="宋体" w:cs="Times New Roman"/>
                <w:kern w:val="0"/>
                <w:sz w:val="24"/>
                <w:szCs w:val="24"/>
              </w:rPr>
              <w:t>0.8的产污系数计，项目生活污水产生量为0.8m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/d，240m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/a，经</w:t>
            </w:r>
            <w:r>
              <w:rPr>
                <w:rFonts w:hint="eastAsia" w:ascii="Times New Roman" w:hAnsi="Times New Roman" w:eastAsia="宋体" w:cs="Times New Roman"/>
                <w:kern w:val="0"/>
                <w:sz w:val="24"/>
                <w:szCs w:val="24"/>
              </w:rPr>
              <w:t>化粪池预处理</w:t>
            </w:r>
            <w:r>
              <w:rPr>
                <w:rFonts w:ascii="Times New Roman" w:hAnsi="Times New Roman" w:eastAsia="宋体" w:cs="Times New Roman"/>
                <w:kern w:val="0"/>
                <w:sz w:val="24"/>
                <w:szCs w:val="24"/>
              </w:rPr>
              <w:t>达标后</w:t>
            </w:r>
            <w:r>
              <w:rPr>
                <w:rFonts w:hint="eastAsia" w:ascii="Times New Roman" w:hAnsi="Times New Roman" w:eastAsia="宋体" w:cs="Times New Roman"/>
                <w:kern w:val="0"/>
                <w:sz w:val="24"/>
                <w:szCs w:val="24"/>
              </w:rPr>
              <w:t>用于周边农灌</w:t>
            </w:r>
            <w:r>
              <w:rPr>
                <w:rFonts w:ascii="Times New Roman" w:hAnsi="Times New Roman" w:eastAsia="宋体" w:cs="Times New Roman"/>
                <w:kern w:val="0"/>
                <w:sz w:val="24"/>
                <w:szCs w:val="24"/>
              </w:rPr>
              <w:t>。</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洗车废水经过自建沉淀池（1</w:t>
            </w:r>
            <w:r>
              <w:rPr>
                <w:rFonts w:ascii="Times New Roman" w:hAnsi="Times New Roman" w:eastAsia="宋体" w:cs="Times New Roman"/>
                <w:kern w:val="0"/>
                <w:sz w:val="24"/>
                <w:szCs w:val="24"/>
              </w:rPr>
              <w:t>0m</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2.6m</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2m</w:t>
            </w:r>
            <w:r>
              <w:rPr>
                <w:rFonts w:hint="eastAsia" w:ascii="Times New Roman" w:hAnsi="Times New Roman" w:eastAsia="宋体" w:cs="Times New Roman"/>
                <w:kern w:val="0"/>
                <w:sz w:val="24"/>
                <w:szCs w:val="24"/>
              </w:rPr>
              <w:t>，合计5</w:t>
            </w:r>
            <w:r>
              <w:rPr>
                <w:rFonts w:ascii="Times New Roman" w:hAnsi="Times New Roman" w:eastAsia="宋体" w:cs="Times New Roman"/>
                <w:kern w:val="0"/>
                <w:sz w:val="24"/>
                <w:szCs w:val="24"/>
              </w:rPr>
              <w:t>6m</w:t>
            </w:r>
            <w:r>
              <w:rPr>
                <w:rFonts w:ascii="Times New Roman" w:hAnsi="Times New Roman" w:eastAsia="宋体" w:cs="Times New Roman"/>
                <w:kern w:val="0"/>
                <w:sz w:val="24"/>
                <w:szCs w:val="24"/>
                <w:vertAlign w:val="superscript"/>
              </w:rPr>
              <w:t>3</w:t>
            </w:r>
            <w:r>
              <w:rPr>
                <w:rFonts w:hint="eastAsia" w:ascii="Times New Roman" w:hAnsi="Times New Roman" w:eastAsia="宋体" w:cs="Times New Roman"/>
                <w:kern w:val="0"/>
                <w:sz w:val="24"/>
                <w:szCs w:val="24"/>
              </w:rPr>
              <w:t>大小）沉淀后循环使用。</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煤炭区域喷淋及道路洒水产生的废水，该部分废水经过自然蒸发后基本无废水外排。</w:t>
            </w:r>
          </w:p>
          <w:p>
            <w:pPr>
              <w:spacing w:line="360" w:lineRule="auto"/>
              <w:rPr>
                <w:rFonts w:ascii="Times New Roman" w:hAnsi="Times New Roman" w:eastAsia="宋体" w:cs="Times New Roman"/>
                <w:kern w:val="0"/>
                <w:sz w:val="24"/>
                <w:szCs w:val="24"/>
              </w:rPr>
            </w:pPr>
            <w:r>
              <w:object>
                <v:shape id="_x0000_i1025" o:spt="75" type="#_x0000_t75" style="height:217.9pt;width:415.35pt;" o:ole="t" filled="f" o:preferrelative="t" stroked="f" coordsize="21600,21600">
                  <v:path/>
                  <v:fill on="f" focussize="0,0"/>
                  <v:stroke on="f" joinstyle="miter"/>
                  <v:imagedata r:id="rId6" o:title=""/>
                  <o:lock v:ext="edit" aspectratio="t"/>
                  <w10:wrap type="none"/>
                  <w10:anchorlock/>
                </v:shape>
                <o:OLEObject Type="Embed" ProgID="Visio.Drawing.15" ShapeID="_x0000_i1025" DrawAspect="Content" ObjectID="_1468075725" r:id="rId5">
                  <o:LockedField>false</o:LockedField>
                </o:OLEObject>
              </w:object>
            </w:r>
          </w:p>
          <w:p>
            <w:pPr>
              <w:spacing w:line="360" w:lineRule="auto"/>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图2</w:t>
            </w:r>
            <w:r>
              <w:rPr>
                <w:rFonts w:ascii="Times New Roman" w:hAnsi="Times New Roman" w:eastAsia="宋体" w:cs="Times New Roman"/>
                <w:b/>
                <w:bCs/>
                <w:kern w:val="0"/>
                <w:sz w:val="24"/>
                <w:szCs w:val="24"/>
              </w:rPr>
              <w:t xml:space="preserve">-1 </w:t>
            </w:r>
            <w:r>
              <w:rPr>
                <w:rFonts w:hint="eastAsia" w:ascii="Times New Roman" w:hAnsi="Times New Roman" w:eastAsia="宋体" w:cs="Times New Roman"/>
                <w:b/>
                <w:bCs/>
                <w:kern w:val="0"/>
                <w:sz w:val="24"/>
                <w:szCs w:val="24"/>
              </w:rPr>
              <w:t>水平衡图 单位：t</w:t>
            </w:r>
            <w:r>
              <w:rPr>
                <w:rFonts w:ascii="Times New Roman" w:hAnsi="Times New Roman" w:eastAsia="宋体" w:cs="Times New Roman"/>
                <w:b/>
                <w:bCs/>
                <w:kern w:val="0"/>
                <w:sz w:val="24"/>
                <w:szCs w:val="24"/>
              </w:rPr>
              <w:t xml:space="preserve">/a </w:t>
            </w:r>
            <w:r>
              <w:rPr>
                <w:rFonts w:hint="eastAsia" w:ascii="Times New Roman" w:hAnsi="Times New Roman" w:eastAsia="宋体" w:cs="Times New Roman"/>
                <w:b/>
                <w:bCs/>
                <w:kern w:val="0"/>
                <w:sz w:val="24"/>
                <w:szCs w:val="24"/>
              </w:rPr>
              <w:t>本次不计算初期雨水包含进水平衡</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3）供配电</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项目用电由乡镇供电所提供。</w:t>
            </w:r>
          </w:p>
          <w:p>
            <w:pPr>
              <w:keepNext/>
              <w:spacing w:line="360" w:lineRule="auto"/>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6、项目平面布置合理性分析</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本项目呈长方形分布，总体平面布置主要以项目主体工程和环保工程为主，本项目西面和南面为项目煤矿堆存区域，东面设置地磅以及进出场通道，与X</w:t>
            </w:r>
            <w:r>
              <w:rPr>
                <w:rFonts w:ascii="Times New Roman" w:hAnsi="Times New Roman" w:eastAsia="宋体" w:cs="Times New Roman"/>
                <w:kern w:val="0"/>
                <w:sz w:val="24"/>
                <w:szCs w:val="24"/>
              </w:rPr>
              <w:t>052</w:t>
            </w:r>
            <w:r>
              <w:rPr>
                <w:rFonts w:hint="eastAsia" w:ascii="Times New Roman" w:hAnsi="Times New Roman" w:eastAsia="宋体" w:cs="Times New Roman"/>
                <w:kern w:val="0"/>
                <w:sz w:val="24"/>
                <w:szCs w:val="24"/>
              </w:rPr>
              <w:t>县道相连，交通运输便利，同时地磅处设置沉淀池，进出厂区门口设置初期雨水沉淀池收集厂区雨水。</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该布置方案工艺流程合理，功能分区明确，交通顺畅，且有利于厂区内部运输安排，项目总平面布置合理。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 w:type="pct"/>
            <w:vAlign w:val="center"/>
          </w:tcPr>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工艺流程和产排污环节</w:t>
            </w:r>
          </w:p>
        </w:tc>
        <w:tc>
          <w:tcPr>
            <w:tcW w:w="4647" w:type="pct"/>
          </w:tcPr>
          <w:p>
            <w:pPr>
              <w:spacing w:line="360" w:lineRule="auto"/>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1、施工期工艺流程</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本项目是新建项目，施工内容主要包括：</w:t>
            </w:r>
            <w:r>
              <w:rPr>
                <w:rFonts w:ascii="Times New Roman" w:hAnsi="Times New Roman" w:eastAsia="宋体" w:cs="Times New Roman"/>
                <w:kern w:val="0"/>
                <w:sz w:val="24"/>
                <w:szCs w:val="24"/>
              </w:rPr>
              <w:t>场地平整、基础施工、主体生产车间、沉淀池等建筑物的建设，以及车间内设备安装。施工过程中会产生噪声、扬尘、固体废物、少量污水和废气等污染物，施工工艺流程如下</w:t>
            </w:r>
            <w:r>
              <w:rPr>
                <w:rFonts w:hint="eastAsia" w:ascii="Times New Roman" w:hAnsi="Times New Roman" w:eastAsia="宋体" w:cs="Times New Roman"/>
                <w:kern w:val="0"/>
                <w:sz w:val="24"/>
                <w:szCs w:val="24"/>
              </w:rPr>
              <w:t>：</w:t>
            </w:r>
          </w:p>
          <w:p>
            <w:pPr>
              <w:rPr>
                <w:kern w:val="0"/>
                <w:sz w:val="20"/>
                <w:szCs w:val="21"/>
              </w:rPr>
            </w:pPr>
            <w:r>
              <w:rPr>
                <w:kern w:val="0"/>
                <w:sz w:val="20"/>
                <w:szCs w:val="20"/>
                <w14:ligatures w14:val="standardContextual"/>
              </w:rPr>
              <w:drawing>
                <wp:inline distT="0" distB="0" distL="0" distR="0">
                  <wp:extent cx="5183505" cy="2724150"/>
                  <wp:effectExtent l="0" t="0" r="0" b="0"/>
                  <wp:docPr id="18673623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62369" name="图片 1"/>
                          <pic:cNvPicPr>
                            <a:picLocks noChangeAspect="1"/>
                          </pic:cNvPicPr>
                        </pic:nvPicPr>
                        <pic:blipFill>
                          <a:blip r:embed="rId7"/>
                          <a:stretch>
                            <a:fillRect/>
                          </a:stretch>
                        </pic:blipFill>
                        <pic:spPr>
                          <a:xfrm>
                            <a:off x="0" y="0"/>
                            <a:ext cx="5186262" cy="2725294"/>
                          </a:xfrm>
                          <a:prstGeom prst="rect">
                            <a:avLst/>
                          </a:prstGeom>
                        </pic:spPr>
                      </pic:pic>
                    </a:graphicData>
                  </a:graphic>
                </wp:inline>
              </w:drawing>
            </w:r>
          </w:p>
          <w:p>
            <w:pPr>
              <w:spacing w:line="360" w:lineRule="auto"/>
              <w:jc w:val="center"/>
              <w:rPr>
                <w:rFonts w:ascii="Times New Roman" w:hAnsi="Times New Roman" w:eastAsia="宋体" w:cs="宋体"/>
                <w:b/>
                <w:bCs/>
                <w:kern w:val="0"/>
                <w:sz w:val="24"/>
                <w:szCs w:val="24"/>
              </w:rPr>
            </w:pPr>
            <w:r>
              <w:rPr>
                <w:rFonts w:hint="eastAsia" w:ascii="Times New Roman" w:hAnsi="Times New Roman" w:eastAsia="宋体" w:cs="宋体"/>
                <w:b/>
                <w:bCs/>
                <w:kern w:val="0"/>
                <w:sz w:val="24"/>
                <w:szCs w:val="24"/>
              </w:rPr>
              <w:t>图2</w:t>
            </w:r>
            <w:r>
              <w:rPr>
                <w:rFonts w:ascii="Times New Roman" w:hAnsi="Times New Roman" w:eastAsia="宋体" w:cs="宋体"/>
                <w:b/>
                <w:bCs/>
                <w:kern w:val="0"/>
                <w:sz w:val="24"/>
                <w:szCs w:val="24"/>
              </w:rPr>
              <w:t>-2</w:t>
            </w:r>
            <w:r>
              <w:rPr>
                <w:rFonts w:hint="eastAsia" w:ascii="Times New Roman" w:hAnsi="Times New Roman" w:eastAsia="宋体" w:cs="宋体"/>
                <w:b/>
                <w:bCs/>
                <w:kern w:val="0"/>
                <w:sz w:val="24"/>
                <w:szCs w:val="24"/>
              </w:rPr>
              <w:t>项目施工期产污流程图</w:t>
            </w:r>
          </w:p>
          <w:p>
            <w:pPr>
              <w:spacing w:line="360" w:lineRule="auto"/>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2、运营期工艺流程</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主要将永兴附近煤矿生产的煤炭到场内进行堆存，然后根据客户的需求进行外售。项目仅涉及简单的煤炭转运，不涉及破碎、配煤等工序，在煤炭装卸运输以及储存过程中会产生一定的粉尘和噪声。项目运营期工艺流程及产排污环节见图2</w:t>
            </w: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w:t>
            </w:r>
          </w:p>
          <w:p>
            <w:pPr>
              <w:spacing w:line="360" w:lineRule="auto"/>
              <w:ind w:firstLine="420" w:firstLineChars="200"/>
              <w:jc w:val="center"/>
              <w:rPr>
                <w:kern w:val="0"/>
                <w:sz w:val="20"/>
                <w:szCs w:val="20"/>
              </w:rPr>
            </w:pPr>
            <w:r>
              <w:object>
                <v:shape id="_x0000_i1026" o:spt="75" type="#_x0000_t75" style="height:317.25pt;width:237.75pt;" o:ole="t" filled="f" o:preferrelative="t" stroked="f" coordsize="21600,21600">
                  <v:path/>
                  <v:fill on="f" focussize="0,0"/>
                  <v:stroke on="f" joinstyle="miter"/>
                  <v:imagedata r:id="rId9" o:title=""/>
                  <o:lock v:ext="edit" aspectratio="t"/>
                  <w10:wrap type="none"/>
                  <w10:anchorlock/>
                </v:shape>
                <o:OLEObject Type="Embed" ProgID="Visio.Drawing.15" ShapeID="_x0000_i1026" DrawAspect="Content" ObjectID="_1468075726" r:id="rId8">
                  <o:LockedField>false</o:LockedField>
                </o:OLEObject>
              </w:object>
            </w:r>
          </w:p>
          <w:p>
            <w:pPr>
              <w:spacing w:line="360" w:lineRule="auto"/>
              <w:jc w:val="center"/>
              <w:rPr>
                <w:rFonts w:ascii="Times New Roman" w:hAnsi="Times New Roman" w:eastAsia="宋体" w:cs="宋体"/>
                <w:b/>
                <w:bCs/>
                <w:kern w:val="0"/>
                <w:sz w:val="24"/>
                <w:szCs w:val="24"/>
              </w:rPr>
            </w:pPr>
            <w:r>
              <w:rPr>
                <w:rFonts w:hint="eastAsia" w:ascii="Times New Roman" w:hAnsi="Times New Roman" w:eastAsia="宋体" w:cs="宋体"/>
                <w:b/>
                <w:bCs/>
                <w:kern w:val="0"/>
                <w:sz w:val="24"/>
                <w:szCs w:val="24"/>
              </w:rPr>
              <w:t>图2</w:t>
            </w:r>
            <w:r>
              <w:rPr>
                <w:rFonts w:ascii="Times New Roman" w:hAnsi="Times New Roman" w:eastAsia="宋体" w:cs="宋体"/>
                <w:b/>
                <w:bCs/>
                <w:kern w:val="0"/>
                <w:sz w:val="24"/>
                <w:szCs w:val="24"/>
              </w:rPr>
              <w:t xml:space="preserve">-3 </w:t>
            </w:r>
            <w:r>
              <w:rPr>
                <w:rFonts w:hint="eastAsia" w:ascii="Times New Roman" w:hAnsi="Times New Roman" w:eastAsia="宋体" w:cs="宋体"/>
                <w:b/>
                <w:bCs/>
                <w:kern w:val="0"/>
                <w:sz w:val="24"/>
                <w:szCs w:val="24"/>
              </w:rPr>
              <w:t>项目生产工艺流程及产排污节点图</w:t>
            </w:r>
          </w:p>
          <w:p>
            <w:pPr>
              <w:spacing w:line="360" w:lineRule="auto"/>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3、运营期主要污染工序</w:t>
            </w:r>
          </w:p>
          <w:p>
            <w:pPr>
              <w:spacing w:line="360" w:lineRule="auto"/>
              <w:ind w:firstLine="482" w:firstLineChars="200"/>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（1）废气</w:t>
            </w:r>
          </w:p>
          <w:p>
            <w:pPr>
              <w:spacing w:line="360" w:lineRule="auto"/>
              <w:ind w:firstLine="480" w:firstLineChars="200"/>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本项目运营过程中产生的废气主要为运输扬尘、装卸扬尘、堆煤厂扬尘以及车辆运输尾气。</w:t>
            </w:r>
          </w:p>
          <w:p>
            <w:pPr>
              <w:spacing w:line="360" w:lineRule="auto"/>
              <w:ind w:firstLine="482" w:firstLineChars="200"/>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（2）废水</w:t>
            </w:r>
          </w:p>
          <w:p>
            <w:pPr>
              <w:spacing w:line="360" w:lineRule="auto"/>
              <w:ind w:firstLine="480" w:firstLineChars="200"/>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本项目废水主要为职工的生活废水、煤炭区域喷淋及道路洒水产生的废水、洗车废水以及厂区初期雨水</w:t>
            </w:r>
            <w:r>
              <w:rPr>
                <w:rFonts w:ascii="Times New Roman" w:hAnsi="Times New Roman" w:eastAsia="宋体" w:cs="Times New Roman"/>
                <w:bCs/>
                <w:kern w:val="0"/>
                <w:sz w:val="24"/>
                <w:szCs w:val="24"/>
              </w:rPr>
              <w:t>。</w:t>
            </w:r>
          </w:p>
          <w:p>
            <w:pPr>
              <w:spacing w:line="360" w:lineRule="auto"/>
              <w:ind w:firstLine="482" w:firstLineChars="200"/>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（3）噪声</w:t>
            </w:r>
          </w:p>
          <w:p>
            <w:pPr>
              <w:spacing w:line="360" w:lineRule="auto"/>
              <w:ind w:firstLine="480" w:firstLineChars="200"/>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本项目运营过程中产生的噪声主要是设备运行和机械装卸过程中产生的噪声。</w:t>
            </w:r>
          </w:p>
          <w:p>
            <w:pPr>
              <w:spacing w:line="360" w:lineRule="auto"/>
              <w:ind w:firstLine="482" w:firstLineChars="200"/>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（4）固体废物</w:t>
            </w:r>
          </w:p>
          <w:p>
            <w:pPr>
              <w:spacing w:line="360" w:lineRule="auto"/>
              <w:ind w:firstLine="480" w:firstLineChars="200"/>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本项目运营过程中产生的固废主要为沉淀池煤泥以及职工生活垃圾。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 w:type="pct"/>
            <w:vAlign w:val="center"/>
          </w:tcPr>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与项</w:t>
            </w:r>
          </w:p>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目有</w:t>
            </w:r>
          </w:p>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关的</w:t>
            </w:r>
          </w:p>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原有</w:t>
            </w:r>
          </w:p>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环境</w:t>
            </w:r>
          </w:p>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污染问题</w:t>
            </w:r>
          </w:p>
        </w:tc>
        <w:tc>
          <w:tcPr>
            <w:tcW w:w="4647" w:type="pct"/>
            <w:vAlign w:val="center"/>
          </w:tcPr>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本项目为新建项目，本次评估介入时，项目场地为空地，不存在与本项目有关的原有环境问题。</w:t>
            </w:r>
          </w:p>
        </w:tc>
      </w:tr>
    </w:tbl>
    <w:p>
      <w:pPr>
        <w:pStyle w:val="2"/>
        <w:sectPr>
          <w:pgSz w:w="11906" w:h="16838"/>
          <w:pgMar w:top="1418" w:right="1418" w:bottom="1418" w:left="1418" w:header="851" w:footer="992" w:gutter="0"/>
          <w:pgNumType w:fmt="numberInDash"/>
          <w:cols w:space="425" w:num="1"/>
          <w:docGrid w:type="lines" w:linePitch="312" w:charSpace="0"/>
        </w:sectPr>
      </w:pPr>
    </w:p>
    <w:p>
      <w:pPr>
        <w:tabs>
          <w:tab w:val="left" w:pos="993"/>
        </w:tabs>
        <w:jc w:val="center"/>
        <w:outlineLvl w:val="0"/>
        <w:rPr>
          <w:rFonts w:ascii="Times New Roman" w:hAnsi="Times New Roman" w:eastAsia="宋体" w:cs="Times New Roman"/>
          <w:b/>
          <w:bCs/>
          <w:color w:val="000000"/>
          <w:kern w:val="44"/>
          <w:sz w:val="30"/>
          <w:szCs w:val="30"/>
        </w:rPr>
      </w:pPr>
      <w:bookmarkStart w:id="35" w:name="_Toc135115373"/>
      <w:bookmarkStart w:id="36" w:name="_Toc147996965"/>
      <w:bookmarkStart w:id="37" w:name="_Toc136147467"/>
      <w:r>
        <w:rPr>
          <w:rFonts w:hint="eastAsia" w:ascii="Times New Roman" w:hAnsi="Times New Roman" w:eastAsia="宋体" w:cs="Times New Roman"/>
          <w:b/>
          <w:bCs/>
          <w:color w:val="000000"/>
          <w:kern w:val="44"/>
          <w:sz w:val="30"/>
          <w:szCs w:val="30"/>
        </w:rPr>
        <w:t>三、区域环境质量现状、环境保护目标及评价标准</w:t>
      </w:r>
      <w:bookmarkEnd w:id="35"/>
      <w:bookmarkEnd w:id="36"/>
      <w:bookmarkEnd w:id="37"/>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8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Align w:val="center"/>
          </w:tcPr>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区域环境质量现状</w:t>
            </w:r>
          </w:p>
        </w:tc>
        <w:tc>
          <w:tcPr>
            <w:tcW w:w="4481" w:type="pct"/>
          </w:tcPr>
          <w:p>
            <w:pPr>
              <w:spacing w:line="360" w:lineRule="auto"/>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1</w:t>
            </w:r>
            <w:r>
              <w:rPr>
                <w:rFonts w:hint="eastAsia" w:ascii="Times New Roman" w:hAnsi="Times New Roman" w:eastAsia="宋体" w:cs="Times New Roman"/>
                <w:b/>
                <w:bCs/>
                <w:kern w:val="0"/>
                <w:sz w:val="24"/>
                <w:szCs w:val="24"/>
              </w:rPr>
              <w:t>、环境空气质量现状</w:t>
            </w:r>
          </w:p>
          <w:p>
            <w:pPr>
              <w:wordWrap w:val="0"/>
              <w:spacing w:line="360" w:lineRule="auto"/>
              <w:ind w:firstLine="480" w:firstLineChars="200"/>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根据《环境影响评价技术导则—大气环境》（</w:t>
            </w:r>
            <w:r>
              <w:rPr>
                <w:rFonts w:ascii="Times New Roman" w:hAnsi="Times New Roman" w:eastAsia="宋体" w:cs="Times New Roman"/>
                <w:bCs/>
                <w:kern w:val="0"/>
                <w:sz w:val="24"/>
                <w:szCs w:val="21"/>
              </w:rPr>
              <w:t>HJ2.2-2018</w:t>
            </w:r>
            <w:r>
              <w:rPr>
                <w:rFonts w:hint="eastAsia" w:ascii="Times New Roman" w:hAnsi="Times New Roman" w:eastAsia="宋体" w:cs="Times New Roman"/>
                <w:bCs/>
                <w:kern w:val="0"/>
                <w:sz w:val="24"/>
                <w:szCs w:val="21"/>
              </w:rPr>
              <w:t>）</w:t>
            </w:r>
            <w:r>
              <w:rPr>
                <w:rFonts w:ascii="Times New Roman" w:hAnsi="Times New Roman" w:eastAsia="宋体" w:cs="Times New Roman"/>
                <w:bCs/>
                <w:kern w:val="0"/>
                <w:sz w:val="24"/>
                <w:szCs w:val="21"/>
              </w:rPr>
              <w:t>，环境空气质量现状调查数据优先采用国家或地方生态环境主管部门公开发布的环境质量公报或环境质量报告中的数据或结论。评价范围内没有环境空气质量检测网数据或公开发布的环境空气质量现状数据的，可选择符合HJ664规定，并且与评价范围地理位置临近，地形气候条件相近的环境空气质量城市点或区域点监测数据。本项目采用郴州市生态环境局网站公布的2022年连续一年的大气环境质量状况监测数据（http://sthjj.czs.gov.cn/hjjc1/jcgl/kqzljc/default.htm）。永兴县城区2022年空气质量现状监测数据统计见下表。</w:t>
            </w:r>
          </w:p>
          <w:p>
            <w:pPr>
              <w:adjustRightInd w:val="0"/>
              <w:snapToGrid w:val="0"/>
              <w:spacing w:line="360" w:lineRule="auto"/>
              <w:jc w:val="center"/>
              <w:rPr>
                <w:rFonts w:ascii="Times New Roman" w:hAnsi="Times New Roman" w:eastAsia="宋体" w:cs="Times New Roman"/>
                <w:b/>
                <w:kern w:val="0"/>
                <w:sz w:val="24"/>
                <w:szCs w:val="24"/>
              </w:rPr>
            </w:pPr>
            <w:r>
              <w:rPr>
                <w:rFonts w:ascii="宋体" w:hAnsi="宋体" w:eastAsia="宋体" w:cs="Times New Roman"/>
                <w:b/>
                <w:kern w:val="0"/>
                <w:sz w:val="24"/>
                <w:szCs w:val="24"/>
              </w:rPr>
              <w:t>表</w:t>
            </w:r>
            <w:r>
              <w:rPr>
                <w:rFonts w:ascii="Times New Roman" w:hAnsi="Times New Roman" w:eastAsia="宋体" w:cs="Times New Roman"/>
                <w:b/>
                <w:kern w:val="0"/>
                <w:sz w:val="24"/>
                <w:szCs w:val="24"/>
              </w:rPr>
              <w:t xml:space="preserve">3-1 </w:t>
            </w:r>
            <w:r>
              <w:rPr>
                <w:rFonts w:ascii="宋体" w:hAnsi="宋体" w:eastAsia="宋体" w:cs="Times New Roman"/>
                <w:b/>
                <w:kern w:val="0"/>
                <w:sz w:val="24"/>
                <w:szCs w:val="24"/>
              </w:rPr>
              <w:t>环境空气质量监测结果统计表</w:t>
            </w:r>
          </w:p>
          <w:tbl>
            <w:tblPr>
              <w:tblStyle w:val="7"/>
              <w:tblW w:w="80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2030"/>
              <w:gridCol w:w="1336"/>
              <w:gridCol w:w="1500"/>
              <w:gridCol w:w="1384"/>
              <w:gridCol w:w="9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atLeast"/>
                <w:tblHeader/>
                <w:jc w:val="center"/>
              </w:trPr>
              <w:tc>
                <w:tcPr>
                  <w:tcW w:w="863" w:type="dxa"/>
                  <w:vAlign w:val="center"/>
                </w:tcPr>
                <w:p>
                  <w:pPr>
                    <w:spacing w:line="280" w:lineRule="exact"/>
                    <w:jc w:val="center"/>
                    <w:rPr>
                      <w:rFonts w:ascii="Times New Roman" w:hAnsi="Times New Roman" w:eastAsia="宋体"/>
                      <w:b/>
                      <w:bCs/>
                      <w:szCs w:val="21"/>
                    </w:rPr>
                  </w:pPr>
                  <w:r>
                    <w:rPr>
                      <w:rFonts w:ascii="Times New Roman" w:hAnsi="Times New Roman" w:eastAsia="宋体"/>
                      <w:b/>
                      <w:bCs/>
                      <w:szCs w:val="21"/>
                    </w:rPr>
                    <w:t>污染物</w:t>
                  </w:r>
                </w:p>
              </w:tc>
              <w:tc>
                <w:tcPr>
                  <w:tcW w:w="2030" w:type="dxa"/>
                  <w:vAlign w:val="center"/>
                </w:tcPr>
                <w:p>
                  <w:pPr>
                    <w:spacing w:line="280" w:lineRule="exact"/>
                    <w:jc w:val="center"/>
                    <w:rPr>
                      <w:rFonts w:ascii="Times New Roman" w:hAnsi="Times New Roman" w:eastAsia="宋体"/>
                      <w:b/>
                      <w:bCs/>
                      <w:szCs w:val="21"/>
                    </w:rPr>
                  </w:pPr>
                  <w:r>
                    <w:rPr>
                      <w:rFonts w:ascii="Times New Roman" w:hAnsi="Times New Roman" w:eastAsia="宋体"/>
                      <w:b/>
                      <w:bCs/>
                      <w:szCs w:val="21"/>
                    </w:rPr>
                    <w:t>评价指标</w:t>
                  </w:r>
                </w:p>
              </w:tc>
              <w:tc>
                <w:tcPr>
                  <w:tcW w:w="1336" w:type="dxa"/>
                  <w:vAlign w:val="center"/>
                </w:tcPr>
                <w:p>
                  <w:pPr>
                    <w:spacing w:line="280" w:lineRule="exact"/>
                    <w:jc w:val="center"/>
                    <w:rPr>
                      <w:rFonts w:ascii="Times New Roman" w:hAnsi="Times New Roman" w:eastAsia="宋体"/>
                      <w:b/>
                      <w:bCs/>
                      <w:szCs w:val="21"/>
                    </w:rPr>
                  </w:pPr>
                  <w:r>
                    <w:rPr>
                      <w:rFonts w:ascii="Times New Roman" w:hAnsi="Times New Roman" w:eastAsia="宋体"/>
                      <w:b/>
                      <w:bCs/>
                      <w:szCs w:val="21"/>
                    </w:rPr>
                    <w:t>现状浓度/（μg/m</w:t>
                  </w:r>
                  <w:r>
                    <w:rPr>
                      <w:rFonts w:ascii="Times New Roman" w:hAnsi="Times New Roman" w:eastAsia="宋体"/>
                      <w:b/>
                      <w:bCs/>
                      <w:szCs w:val="21"/>
                      <w:vertAlign w:val="superscript"/>
                    </w:rPr>
                    <w:t>3</w:t>
                  </w:r>
                  <w:r>
                    <w:rPr>
                      <w:rFonts w:ascii="Times New Roman" w:hAnsi="Times New Roman" w:eastAsia="宋体"/>
                      <w:b/>
                      <w:bCs/>
                      <w:szCs w:val="21"/>
                    </w:rPr>
                    <w:t>）</w:t>
                  </w:r>
                </w:p>
              </w:tc>
              <w:tc>
                <w:tcPr>
                  <w:tcW w:w="1500" w:type="dxa"/>
                  <w:vAlign w:val="center"/>
                </w:tcPr>
                <w:p>
                  <w:pPr>
                    <w:spacing w:line="280" w:lineRule="exact"/>
                    <w:jc w:val="center"/>
                    <w:rPr>
                      <w:rFonts w:ascii="Times New Roman" w:hAnsi="Times New Roman" w:eastAsia="宋体"/>
                      <w:b/>
                      <w:bCs/>
                      <w:szCs w:val="21"/>
                    </w:rPr>
                  </w:pPr>
                  <w:r>
                    <w:rPr>
                      <w:rFonts w:ascii="Times New Roman" w:hAnsi="Times New Roman" w:eastAsia="宋体"/>
                      <w:b/>
                      <w:bCs/>
                      <w:szCs w:val="21"/>
                    </w:rPr>
                    <w:t>标准值/（μg/m</w:t>
                  </w:r>
                  <w:r>
                    <w:rPr>
                      <w:rFonts w:ascii="Times New Roman" w:hAnsi="Times New Roman" w:eastAsia="宋体"/>
                      <w:b/>
                      <w:bCs/>
                      <w:szCs w:val="21"/>
                      <w:vertAlign w:val="superscript"/>
                    </w:rPr>
                    <w:t>3</w:t>
                  </w:r>
                  <w:r>
                    <w:rPr>
                      <w:rFonts w:ascii="Times New Roman" w:hAnsi="Times New Roman" w:eastAsia="宋体"/>
                      <w:b/>
                      <w:bCs/>
                      <w:szCs w:val="21"/>
                    </w:rPr>
                    <w:t>）</w:t>
                  </w:r>
                </w:p>
              </w:tc>
              <w:tc>
                <w:tcPr>
                  <w:tcW w:w="1384" w:type="dxa"/>
                  <w:vAlign w:val="center"/>
                </w:tcPr>
                <w:p>
                  <w:pPr>
                    <w:spacing w:line="280" w:lineRule="exact"/>
                    <w:jc w:val="center"/>
                    <w:rPr>
                      <w:rFonts w:ascii="Times New Roman" w:hAnsi="Times New Roman" w:eastAsia="宋体"/>
                      <w:b/>
                      <w:bCs/>
                      <w:szCs w:val="21"/>
                    </w:rPr>
                  </w:pPr>
                  <w:r>
                    <w:rPr>
                      <w:rFonts w:ascii="Times New Roman" w:hAnsi="Times New Roman" w:eastAsia="宋体"/>
                      <w:b/>
                      <w:bCs/>
                      <w:szCs w:val="21"/>
                    </w:rPr>
                    <w:t>占标率/%</w:t>
                  </w:r>
                </w:p>
              </w:tc>
              <w:tc>
                <w:tcPr>
                  <w:tcW w:w="942" w:type="dxa"/>
                  <w:vAlign w:val="center"/>
                </w:tcPr>
                <w:p>
                  <w:pPr>
                    <w:spacing w:line="280" w:lineRule="exact"/>
                    <w:jc w:val="center"/>
                    <w:rPr>
                      <w:rFonts w:ascii="Times New Roman" w:hAnsi="Times New Roman" w:eastAsia="宋体"/>
                      <w:b/>
                      <w:bCs/>
                      <w:szCs w:val="21"/>
                    </w:rPr>
                  </w:pPr>
                  <w:r>
                    <w:rPr>
                      <w:rFonts w:ascii="Times New Roman" w:hAnsi="Times New Roman" w:eastAsia="宋体"/>
                      <w:b/>
                      <w:bCs/>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63"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SO</w:t>
                  </w:r>
                  <w:r>
                    <w:rPr>
                      <w:rFonts w:ascii="Times New Roman" w:hAnsi="Times New Roman" w:eastAsia="宋体"/>
                      <w:szCs w:val="21"/>
                      <w:vertAlign w:val="subscript"/>
                    </w:rPr>
                    <w:t>2</w:t>
                  </w:r>
                </w:p>
              </w:tc>
              <w:tc>
                <w:tcPr>
                  <w:tcW w:w="2030"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年平均质量浓度</w:t>
                  </w:r>
                </w:p>
              </w:tc>
              <w:tc>
                <w:tcPr>
                  <w:tcW w:w="1336" w:type="dxa"/>
                  <w:vAlign w:val="center"/>
                </w:tcPr>
                <w:p>
                  <w:pPr>
                    <w:spacing w:line="280" w:lineRule="exact"/>
                    <w:jc w:val="center"/>
                    <w:rPr>
                      <w:rFonts w:ascii="Times New Roman" w:hAnsi="Times New Roman" w:eastAsia="宋体"/>
                      <w:szCs w:val="21"/>
                    </w:rPr>
                  </w:pPr>
                  <w:r>
                    <w:rPr>
                      <w:rFonts w:hint="eastAsia" w:ascii="Times New Roman" w:hAnsi="Times New Roman" w:eastAsia="宋体"/>
                      <w:szCs w:val="21"/>
                    </w:rPr>
                    <w:t>9.66</w:t>
                  </w:r>
                </w:p>
              </w:tc>
              <w:tc>
                <w:tcPr>
                  <w:tcW w:w="1500"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60</w:t>
                  </w:r>
                </w:p>
              </w:tc>
              <w:tc>
                <w:tcPr>
                  <w:tcW w:w="1384" w:type="dxa"/>
                  <w:vAlign w:val="center"/>
                </w:tcPr>
                <w:p>
                  <w:pPr>
                    <w:spacing w:line="280" w:lineRule="exact"/>
                    <w:jc w:val="center"/>
                    <w:rPr>
                      <w:rFonts w:ascii="Times New Roman" w:hAnsi="Times New Roman" w:eastAsia="宋体"/>
                      <w:szCs w:val="21"/>
                    </w:rPr>
                  </w:pPr>
                  <w:r>
                    <w:rPr>
                      <w:rFonts w:hint="eastAsia" w:ascii="Times New Roman" w:hAnsi="Times New Roman" w:eastAsia="宋体"/>
                      <w:szCs w:val="21"/>
                    </w:rPr>
                    <w:t>16.1</w:t>
                  </w:r>
                </w:p>
              </w:tc>
              <w:tc>
                <w:tcPr>
                  <w:tcW w:w="942"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63"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NO</w:t>
                  </w:r>
                  <w:r>
                    <w:rPr>
                      <w:rFonts w:ascii="Times New Roman" w:hAnsi="Times New Roman" w:eastAsia="宋体"/>
                      <w:szCs w:val="21"/>
                      <w:vertAlign w:val="subscript"/>
                    </w:rPr>
                    <w:t>2</w:t>
                  </w:r>
                </w:p>
              </w:tc>
              <w:tc>
                <w:tcPr>
                  <w:tcW w:w="2030"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年平均质量浓度</w:t>
                  </w:r>
                </w:p>
              </w:tc>
              <w:tc>
                <w:tcPr>
                  <w:tcW w:w="1336"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1</w:t>
                  </w:r>
                  <w:r>
                    <w:rPr>
                      <w:rFonts w:hint="eastAsia" w:ascii="Times New Roman" w:hAnsi="Times New Roman" w:eastAsia="宋体"/>
                      <w:szCs w:val="21"/>
                    </w:rPr>
                    <w:t>1.66</w:t>
                  </w:r>
                </w:p>
              </w:tc>
              <w:tc>
                <w:tcPr>
                  <w:tcW w:w="1500"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40</w:t>
                  </w:r>
                </w:p>
              </w:tc>
              <w:tc>
                <w:tcPr>
                  <w:tcW w:w="1384" w:type="dxa"/>
                  <w:vAlign w:val="center"/>
                </w:tcPr>
                <w:p>
                  <w:pPr>
                    <w:spacing w:line="280" w:lineRule="exact"/>
                    <w:jc w:val="center"/>
                    <w:rPr>
                      <w:rFonts w:ascii="Times New Roman" w:hAnsi="Times New Roman" w:eastAsia="宋体"/>
                      <w:szCs w:val="21"/>
                    </w:rPr>
                  </w:pPr>
                  <w:r>
                    <w:rPr>
                      <w:rFonts w:hint="eastAsia" w:ascii="Times New Roman" w:hAnsi="Times New Roman" w:eastAsia="宋体"/>
                      <w:szCs w:val="21"/>
                    </w:rPr>
                    <w:t>29.2</w:t>
                  </w:r>
                </w:p>
              </w:tc>
              <w:tc>
                <w:tcPr>
                  <w:tcW w:w="942"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63"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PM</w:t>
                  </w:r>
                  <w:r>
                    <w:rPr>
                      <w:rFonts w:ascii="Times New Roman" w:hAnsi="Times New Roman" w:eastAsia="宋体"/>
                      <w:szCs w:val="21"/>
                      <w:vertAlign w:val="subscript"/>
                    </w:rPr>
                    <w:t>10</w:t>
                  </w:r>
                </w:p>
              </w:tc>
              <w:tc>
                <w:tcPr>
                  <w:tcW w:w="2030"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年平均质量浓度</w:t>
                  </w:r>
                </w:p>
              </w:tc>
              <w:tc>
                <w:tcPr>
                  <w:tcW w:w="1336" w:type="dxa"/>
                  <w:vAlign w:val="center"/>
                </w:tcPr>
                <w:p>
                  <w:pPr>
                    <w:spacing w:line="280" w:lineRule="exact"/>
                    <w:jc w:val="center"/>
                    <w:rPr>
                      <w:rFonts w:ascii="Times New Roman" w:hAnsi="Times New Roman" w:eastAsia="宋体"/>
                      <w:szCs w:val="21"/>
                    </w:rPr>
                  </w:pPr>
                  <w:r>
                    <w:rPr>
                      <w:rFonts w:hint="eastAsia" w:ascii="Times New Roman" w:hAnsi="Times New Roman" w:eastAsia="宋体"/>
                      <w:szCs w:val="21"/>
                    </w:rPr>
                    <w:t>37.16</w:t>
                  </w:r>
                </w:p>
              </w:tc>
              <w:tc>
                <w:tcPr>
                  <w:tcW w:w="1500"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70</w:t>
                  </w:r>
                </w:p>
              </w:tc>
              <w:tc>
                <w:tcPr>
                  <w:tcW w:w="1384" w:type="dxa"/>
                  <w:vAlign w:val="center"/>
                </w:tcPr>
                <w:p>
                  <w:pPr>
                    <w:spacing w:line="280" w:lineRule="exact"/>
                    <w:jc w:val="center"/>
                    <w:rPr>
                      <w:rFonts w:ascii="Times New Roman" w:hAnsi="Times New Roman" w:eastAsia="宋体"/>
                      <w:szCs w:val="21"/>
                    </w:rPr>
                  </w:pPr>
                  <w:r>
                    <w:rPr>
                      <w:rFonts w:hint="eastAsia" w:ascii="Times New Roman" w:hAnsi="Times New Roman" w:eastAsia="宋体"/>
                      <w:szCs w:val="21"/>
                    </w:rPr>
                    <w:t>53.1</w:t>
                  </w:r>
                </w:p>
              </w:tc>
              <w:tc>
                <w:tcPr>
                  <w:tcW w:w="942"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63"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PM</w:t>
                  </w:r>
                  <w:r>
                    <w:rPr>
                      <w:rFonts w:ascii="Times New Roman" w:hAnsi="Times New Roman" w:eastAsia="宋体"/>
                      <w:szCs w:val="21"/>
                      <w:vertAlign w:val="subscript"/>
                    </w:rPr>
                    <w:t>2.5</w:t>
                  </w:r>
                </w:p>
              </w:tc>
              <w:tc>
                <w:tcPr>
                  <w:tcW w:w="2030"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年平均质量浓度</w:t>
                  </w:r>
                </w:p>
              </w:tc>
              <w:tc>
                <w:tcPr>
                  <w:tcW w:w="1336"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2</w:t>
                  </w:r>
                  <w:r>
                    <w:rPr>
                      <w:rFonts w:hint="eastAsia" w:ascii="Times New Roman" w:hAnsi="Times New Roman" w:eastAsia="宋体"/>
                      <w:szCs w:val="21"/>
                    </w:rPr>
                    <w:t>6.6</w:t>
                  </w:r>
                </w:p>
              </w:tc>
              <w:tc>
                <w:tcPr>
                  <w:tcW w:w="1500"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35</w:t>
                  </w:r>
                </w:p>
              </w:tc>
              <w:tc>
                <w:tcPr>
                  <w:tcW w:w="1384" w:type="dxa"/>
                  <w:vAlign w:val="center"/>
                </w:tcPr>
                <w:p>
                  <w:pPr>
                    <w:spacing w:line="280" w:lineRule="exact"/>
                    <w:jc w:val="center"/>
                    <w:rPr>
                      <w:rFonts w:ascii="Times New Roman" w:hAnsi="Times New Roman" w:eastAsia="宋体"/>
                      <w:szCs w:val="21"/>
                    </w:rPr>
                  </w:pPr>
                  <w:r>
                    <w:rPr>
                      <w:rFonts w:hint="eastAsia" w:ascii="Times New Roman" w:hAnsi="Times New Roman" w:eastAsia="宋体"/>
                      <w:szCs w:val="21"/>
                    </w:rPr>
                    <w:t>76.2</w:t>
                  </w:r>
                </w:p>
              </w:tc>
              <w:tc>
                <w:tcPr>
                  <w:tcW w:w="942"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63"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CO</w:t>
                  </w:r>
                </w:p>
              </w:tc>
              <w:tc>
                <w:tcPr>
                  <w:tcW w:w="2030"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日均值第95百分位浓度均值</w:t>
                  </w:r>
                </w:p>
              </w:tc>
              <w:tc>
                <w:tcPr>
                  <w:tcW w:w="1336" w:type="dxa"/>
                  <w:vAlign w:val="center"/>
                </w:tcPr>
                <w:p>
                  <w:pPr>
                    <w:spacing w:line="280" w:lineRule="exact"/>
                    <w:jc w:val="center"/>
                    <w:rPr>
                      <w:rFonts w:ascii="Times New Roman" w:hAnsi="Times New Roman" w:eastAsia="宋体"/>
                      <w:szCs w:val="21"/>
                    </w:rPr>
                  </w:pPr>
                  <w:r>
                    <w:rPr>
                      <w:rFonts w:hint="eastAsia" w:ascii="Times New Roman" w:hAnsi="Times New Roman" w:eastAsia="宋体"/>
                      <w:szCs w:val="21"/>
                    </w:rPr>
                    <w:t>1.13</w:t>
                  </w:r>
                </w:p>
              </w:tc>
              <w:tc>
                <w:tcPr>
                  <w:tcW w:w="1500"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4</w:t>
                  </w:r>
                </w:p>
              </w:tc>
              <w:tc>
                <w:tcPr>
                  <w:tcW w:w="1384"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2</w:t>
                  </w:r>
                  <w:r>
                    <w:rPr>
                      <w:rFonts w:hint="eastAsia" w:ascii="Times New Roman" w:hAnsi="Times New Roman" w:eastAsia="宋体"/>
                      <w:szCs w:val="21"/>
                    </w:rPr>
                    <w:t>8.3</w:t>
                  </w:r>
                </w:p>
              </w:tc>
              <w:tc>
                <w:tcPr>
                  <w:tcW w:w="942"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63"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O</w:t>
                  </w:r>
                  <w:r>
                    <w:rPr>
                      <w:rFonts w:ascii="Times New Roman" w:hAnsi="Times New Roman" w:eastAsia="宋体"/>
                      <w:szCs w:val="21"/>
                      <w:vertAlign w:val="subscript"/>
                    </w:rPr>
                    <w:t>3</w:t>
                  </w:r>
                </w:p>
              </w:tc>
              <w:tc>
                <w:tcPr>
                  <w:tcW w:w="2030"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日最大8小时平均第90百分位浓度均值</w:t>
                  </w:r>
                </w:p>
              </w:tc>
              <w:tc>
                <w:tcPr>
                  <w:tcW w:w="1336"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1</w:t>
                  </w:r>
                  <w:r>
                    <w:rPr>
                      <w:rFonts w:hint="eastAsia" w:ascii="Times New Roman" w:hAnsi="Times New Roman" w:eastAsia="宋体"/>
                      <w:szCs w:val="21"/>
                    </w:rPr>
                    <w:t>20.3</w:t>
                  </w:r>
                </w:p>
              </w:tc>
              <w:tc>
                <w:tcPr>
                  <w:tcW w:w="1500"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160</w:t>
                  </w:r>
                </w:p>
              </w:tc>
              <w:tc>
                <w:tcPr>
                  <w:tcW w:w="1384" w:type="dxa"/>
                  <w:vAlign w:val="center"/>
                </w:tcPr>
                <w:p>
                  <w:pPr>
                    <w:spacing w:line="280" w:lineRule="exact"/>
                    <w:jc w:val="center"/>
                    <w:rPr>
                      <w:rFonts w:ascii="Times New Roman" w:hAnsi="Times New Roman" w:eastAsia="宋体"/>
                      <w:szCs w:val="21"/>
                    </w:rPr>
                  </w:pPr>
                  <w:r>
                    <w:rPr>
                      <w:rFonts w:hint="eastAsia" w:ascii="Times New Roman" w:hAnsi="Times New Roman" w:eastAsia="宋体"/>
                      <w:szCs w:val="21"/>
                    </w:rPr>
                    <w:t>75.2</w:t>
                  </w:r>
                </w:p>
              </w:tc>
              <w:tc>
                <w:tcPr>
                  <w:tcW w:w="942" w:type="dxa"/>
                  <w:vAlign w:val="center"/>
                </w:tcPr>
                <w:p>
                  <w:pPr>
                    <w:spacing w:line="280" w:lineRule="exact"/>
                    <w:jc w:val="center"/>
                    <w:rPr>
                      <w:rFonts w:ascii="Times New Roman" w:hAnsi="Times New Roman" w:eastAsia="宋体"/>
                      <w:szCs w:val="21"/>
                    </w:rPr>
                  </w:pPr>
                  <w:r>
                    <w:rPr>
                      <w:rFonts w:ascii="Times New Roman" w:hAnsi="Times New Roman" w:eastAsia="宋体"/>
                      <w:szCs w:val="21"/>
                    </w:rPr>
                    <w:t>达标</w:t>
                  </w:r>
                </w:p>
              </w:tc>
            </w:tr>
          </w:tbl>
          <w:p>
            <w:pPr>
              <w:wordWrap w:val="0"/>
              <w:spacing w:line="360" w:lineRule="auto"/>
              <w:ind w:firstLine="480" w:firstLineChars="200"/>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根据表3</w:t>
            </w:r>
            <w:r>
              <w:rPr>
                <w:rFonts w:ascii="Times New Roman" w:hAnsi="Times New Roman" w:eastAsia="宋体" w:cs="Times New Roman"/>
                <w:bCs/>
                <w:kern w:val="0"/>
                <w:sz w:val="24"/>
                <w:szCs w:val="21"/>
              </w:rPr>
              <w:t>-1</w:t>
            </w:r>
            <w:r>
              <w:rPr>
                <w:rFonts w:hint="eastAsia" w:ascii="Times New Roman" w:hAnsi="Times New Roman" w:eastAsia="宋体" w:cs="Times New Roman"/>
                <w:bCs/>
                <w:kern w:val="0"/>
                <w:sz w:val="24"/>
                <w:szCs w:val="21"/>
              </w:rPr>
              <w:t>可知，</w:t>
            </w:r>
            <w:r>
              <w:rPr>
                <w:rFonts w:ascii="Times New Roman" w:hAnsi="Times New Roman" w:eastAsia="宋体" w:cs="Times New Roman"/>
                <w:bCs/>
                <w:kern w:val="0"/>
                <w:sz w:val="24"/>
                <w:szCs w:val="21"/>
              </w:rPr>
              <w:t>2022年永兴县SO</w:t>
            </w:r>
            <w:r>
              <w:rPr>
                <w:rFonts w:ascii="Times New Roman" w:hAnsi="Times New Roman" w:eastAsia="宋体" w:cs="Times New Roman"/>
                <w:bCs/>
                <w:kern w:val="0"/>
                <w:sz w:val="24"/>
                <w:szCs w:val="21"/>
                <w:vertAlign w:val="subscript"/>
              </w:rPr>
              <w:t>2</w:t>
            </w:r>
            <w:r>
              <w:rPr>
                <w:rFonts w:ascii="Times New Roman" w:hAnsi="Times New Roman" w:eastAsia="宋体" w:cs="Times New Roman"/>
                <w:bCs/>
                <w:kern w:val="0"/>
                <w:sz w:val="24"/>
                <w:szCs w:val="21"/>
              </w:rPr>
              <w:t>、NO</w:t>
            </w:r>
            <w:r>
              <w:rPr>
                <w:rFonts w:ascii="Times New Roman" w:hAnsi="Times New Roman" w:eastAsia="宋体" w:cs="Times New Roman"/>
                <w:bCs/>
                <w:kern w:val="0"/>
                <w:sz w:val="24"/>
                <w:szCs w:val="21"/>
                <w:vertAlign w:val="subscript"/>
              </w:rPr>
              <w:t>2</w:t>
            </w:r>
            <w:r>
              <w:rPr>
                <w:rFonts w:ascii="Times New Roman" w:hAnsi="Times New Roman" w:eastAsia="宋体" w:cs="Times New Roman"/>
                <w:bCs/>
                <w:kern w:val="0"/>
                <w:sz w:val="24"/>
                <w:szCs w:val="21"/>
              </w:rPr>
              <w:t>、PM</w:t>
            </w:r>
            <w:r>
              <w:rPr>
                <w:rFonts w:ascii="Times New Roman" w:hAnsi="Times New Roman" w:eastAsia="宋体" w:cs="Times New Roman"/>
                <w:bCs/>
                <w:kern w:val="0"/>
                <w:sz w:val="24"/>
                <w:szCs w:val="21"/>
                <w:vertAlign w:val="subscript"/>
              </w:rPr>
              <w:t>10</w:t>
            </w:r>
            <w:r>
              <w:rPr>
                <w:rFonts w:ascii="Times New Roman" w:hAnsi="Times New Roman" w:eastAsia="宋体" w:cs="Times New Roman"/>
                <w:bCs/>
                <w:kern w:val="0"/>
                <w:sz w:val="24"/>
                <w:szCs w:val="21"/>
              </w:rPr>
              <w:t>、PM</w:t>
            </w:r>
            <w:r>
              <w:rPr>
                <w:rFonts w:ascii="Times New Roman" w:hAnsi="Times New Roman" w:eastAsia="宋体" w:cs="Times New Roman"/>
                <w:bCs/>
                <w:kern w:val="0"/>
                <w:sz w:val="24"/>
                <w:szCs w:val="21"/>
                <w:vertAlign w:val="subscript"/>
              </w:rPr>
              <w:t>2.5</w:t>
            </w:r>
            <w:r>
              <w:rPr>
                <w:rFonts w:ascii="Times New Roman" w:hAnsi="Times New Roman" w:eastAsia="宋体" w:cs="Times New Roman"/>
                <w:bCs/>
                <w:kern w:val="0"/>
                <w:sz w:val="24"/>
                <w:szCs w:val="21"/>
              </w:rPr>
              <w:t>年均值，CO、O3年评价结果均符合《环境空气质量标准》</w:t>
            </w:r>
            <w:r>
              <w:rPr>
                <w:rFonts w:hint="eastAsia" w:ascii="Times New Roman" w:hAnsi="Times New Roman" w:eastAsia="宋体" w:cs="Times New Roman"/>
                <w:bCs/>
                <w:kern w:val="0"/>
                <w:sz w:val="24"/>
                <w:szCs w:val="21"/>
              </w:rPr>
              <w:t>（</w:t>
            </w:r>
            <w:r>
              <w:rPr>
                <w:rFonts w:ascii="Times New Roman" w:hAnsi="Times New Roman" w:eastAsia="宋体" w:cs="Times New Roman"/>
                <w:bCs/>
                <w:kern w:val="0"/>
                <w:sz w:val="24"/>
                <w:szCs w:val="21"/>
              </w:rPr>
              <w:t>GB3095-2012</w:t>
            </w:r>
            <w:r>
              <w:rPr>
                <w:rFonts w:hint="eastAsia" w:ascii="Times New Roman" w:hAnsi="Times New Roman" w:eastAsia="宋体" w:cs="Times New Roman"/>
                <w:bCs/>
                <w:kern w:val="0"/>
                <w:sz w:val="24"/>
                <w:szCs w:val="21"/>
              </w:rPr>
              <w:t>）</w:t>
            </w:r>
            <w:r>
              <w:rPr>
                <w:rFonts w:ascii="Times New Roman" w:hAnsi="Times New Roman" w:eastAsia="宋体" w:cs="Times New Roman"/>
                <w:bCs/>
                <w:kern w:val="0"/>
                <w:sz w:val="24"/>
                <w:szCs w:val="21"/>
              </w:rPr>
              <w:t>二级标准，永兴县2022年为环境空气质量达标区。</w:t>
            </w:r>
          </w:p>
          <w:p>
            <w:pPr>
              <w:wordWrap w:val="0"/>
              <w:spacing w:line="360" w:lineRule="auto"/>
              <w:ind w:firstLine="480" w:firstLineChars="200"/>
              <w:rPr>
                <w:rFonts w:ascii="Times New Roman" w:hAnsi="Times New Roman" w:eastAsia="宋体" w:cs="Times New Roman"/>
                <w:bCs/>
                <w:kern w:val="0"/>
                <w:sz w:val="24"/>
                <w:szCs w:val="21"/>
              </w:rPr>
            </w:pPr>
            <w:r>
              <w:rPr>
                <w:rFonts w:hint="eastAsia" w:ascii="Times New Roman" w:hAnsi="Times New Roman" w:eastAsia="宋体" w:cs="Times New Roman"/>
                <w:bCs/>
                <w:kern w:val="0"/>
                <w:sz w:val="24"/>
                <w:szCs w:val="21"/>
              </w:rPr>
              <w:t>2023年10月13日~15日公司委托华清检测技术有限公司对厂区以及附近居民点（雷塘居民点）补充了TSP监测，具体监测结果如下：</w:t>
            </w:r>
          </w:p>
          <w:p>
            <w:pPr>
              <w:wordWrap w:val="0"/>
              <w:spacing w:line="360" w:lineRule="auto"/>
              <w:rPr>
                <w:rFonts w:ascii="Times New Roman" w:hAnsi="Times New Roman" w:eastAsia="宋体" w:cs="Times New Roman"/>
                <w:bCs/>
                <w:kern w:val="0"/>
                <w:sz w:val="24"/>
                <w:szCs w:val="21"/>
              </w:rPr>
            </w:pPr>
            <w:r>
              <w:drawing>
                <wp:inline distT="0" distB="0" distL="114300" distR="114300">
                  <wp:extent cx="5172075" cy="2066925"/>
                  <wp:effectExtent l="0" t="0" r="9525" b="952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
                          <a:stretch>
                            <a:fillRect/>
                          </a:stretch>
                        </pic:blipFill>
                        <pic:spPr>
                          <a:xfrm>
                            <a:off x="0" y="0"/>
                            <a:ext cx="5172075" cy="2066925"/>
                          </a:xfrm>
                          <a:prstGeom prst="rect">
                            <a:avLst/>
                          </a:prstGeom>
                          <a:noFill/>
                          <a:ln>
                            <a:noFill/>
                          </a:ln>
                        </pic:spPr>
                      </pic:pic>
                    </a:graphicData>
                  </a:graphic>
                </wp:inline>
              </w:drawing>
            </w:r>
          </w:p>
          <w:p>
            <w:pPr>
              <w:wordWrap w:val="0"/>
              <w:spacing w:line="360" w:lineRule="auto"/>
              <w:ind w:firstLine="480" w:firstLineChars="200"/>
              <w:rPr>
                <w:rFonts w:ascii="Times New Roman" w:hAnsi="Times New Roman" w:eastAsia="宋体" w:cs="Times New Roman"/>
                <w:b/>
                <w:bCs/>
                <w:kern w:val="0"/>
                <w:sz w:val="24"/>
                <w:szCs w:val="24"/>
              </w:rPr>
            </w:pPr>
            <w:r>
              <w:rPr>
                <w:rFonts w:hint="eastAsia" w:ascii="Times New Roman" w:hAnsi="Times New Roman" w:eastAsia="宋体" w:cs="Times New Roman"/>
                <w:bCs/>
                <w:kern w:val="0"/>
                <w:sz w:val="24"/>
                <w:szCs w:val="21"/>
              </w:rPr>
              <w:t>根据上表可知，TSP银子</w:t>
            </w:r>
            <w:r>
              <w:rPr>
                <w:rFonts w:ascii="Times New Roman" w:hAnsi="Times New Roman" w:eastAsia="宋体" w:cs="Times New Roman"/>
                <w:bCs/>
                <w:kern w:val="0"/>
                <w:sz w:val="24"/>
                <w:szCs w:val="21"/>
              </w:rPr>
              <w:t>均符合《环境空气质量标准》</w:t>
            </w:r>
            <w:r>
              <w:rPr>
                <w:rFonts w:hint="eastAsia" w:ascii="Times New Roman" w:hAnsi="Times New Roman" w:eastAsia="宋体" w:cs="Times New Roman"/>
                <w:bCs/>
                <w:kern w:val="0"/>
                <w:sz w:val="24"/>
                <w:szCs w:val="21"/>
              </w:rPr>
              <w:t>（</w:t>
            </w:r>
            <w:r>
              <w:rPr>
                <w:rFonts w:ascii="Times New Roman" w:hAnsi="Times New Roman" w:eastAsia="宋体" w:cs="Times New Roman"/>
                <w:bCs/>
                <w:kern w:val="0"/>
                <w:sz w:val="24"/>
                <w:szCs w:val="21"/>
              </w:rPr>
              <w:t>GB3095-2012</w:t>
            </w:r>
            <w:r>
              <w:rPr>
                <w:rFonts w:hint="eastAsia" w:ascii="Times New Roman" w:hAnsi="Times New Roman" w:eastAsia="宋体" w:cs="Times New Roman"/>
                <w:bCs/>
                <w:kern w:val="0"/>
                <w:sz w:val="24"/>
                <w:szCs w:val="21"/>
              </w:rPr>
              <w:t>）</w:t>
            </w:r>
            <w:r>
              <w:rPr>
                <w:rFonts w:ascii="Times New Roman" w:hAnsi="Times New Roman" w:eastAsia="宋体" w:cs="Times New Roman"/>
                <w:bCs/>
                <w:kern w:val="0"/>
                <w:sz w:val="24"/>
                <w:szCs w:val="21"/>
              </w:rPr>
              <w:t>二级标准。</w:t>
            </w:r>
          </w:p>
          <w:p>
            <w:pPr>
              <w:spacing w:line="360" w:lineRule="auto"/>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w:t>
            </w:r>
            <w:r>
              <w:rPr>
                <w:rFonts w:hint="eastAsia" w:ascii="Times New Roman" w:hAnsi="Times New Roman" w:eastAsia="宋体" w:cs="Times New Roman"/>
                <w:b/>
                <w:bCs/>
                <w:kern w:val="0"/>
                <w:sz w:val="24"/>
                <w:szCs w:val="24"/>
              </w:rPr>
              <w:t>、地表水环境质量现状</w:t>
            </w:r>
          </w:p>
          <w:p>
            <w:pPr>
              <w:wordWrap w:val="0"/>
              <w:adjustRightInd w:val="0"/>
              <w:snapToGrid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本项目无生产废水外排，生活污水经化粪池处理后用作农家肥，不外排。</w:t>
            </w:r>
          </w:p>
          <w:p>
            <w:pPr>
              <w:wordWrap w:val="0"/>
              <w:adjustRightInd w:val="0"/>
              <w:snapToGrid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根据《地表水环境质量标准》（</w:t>
            </w:r>
            <w:r>
              <w:rPr>
                <w:rFonts w:ascii="Times New Roman" w:hAnsi="Times New Roman" w:eastAsia="宋体" w:cs="Times New Roman"/>
                <w:kern w:val="0"/>
                <w:sz w:val="24"/>
                <w:szCs w:val="24"/>
              </w:rPr>
              <w:t>GB3838-2002）、《湖南省主要地表水系水环境功能区划》（DB43/023-2005），地表水功能区为Ⅲ类区。</w:t>
            </w:r>
          </w:p>
          <w:p>
            <w:pPr>
              <w:wordWrap w:val="0"/>
              <w:adjustRightInd w:val="0"/>
              <w:snapToGrid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为了解本项目所在区域地表水环境质量现状，本次环境影响评价地表水质量现状监测数据引用郴州市生态环境局《</w:t>
            </w:r>
            <w:r>
              <w:rPr>
                <w:rFonts w:ascii="Times New Roman" w:hAnsi="Times New Roman" w:eastAsia="宋体" w:cs="Times New Roman"/>
                <w:kern w:val="0"/>
                <w:sz w:val="24"/>
                <w:szCs w:val="24"/>
              </w:rPr>
              <w:t>2022年1-12月郴州市地表水环境质量状况》，地表水水质监测结果如下：</w:t>
            </w:r>
          </w:p>
          <w:p>
            <w:pPr>
              <w:adjustRightInd w:val="0"/>
              <w:snapToGrid w:val="0"/>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表3-2水环境状况信息一览表</w:t>
            </w:r>
          </w:p>
          <w:tbl>
            <w:tblPr>
              <w:tblStyle w:val="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797"/>
              <w:gridCol w:w="1035"/>
              <w:gridCol w:w="856"/>
              <w:gridCol w:w="822"/>
              <w:gridCol w:w="909"/>
              <w:gridCol w:w="1225"/>
              <w:gridCol w:w="892"/>
              <w:gridCol w:w="9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607" w:type="pct"/>
                  <w:vAlign w:val="center"/>
                </w:tcPr>
                <w:p>
                  <w:pPr>
                    <w:rPr>
                      <w:rFonts w:ascii="Times New Roman" w:hAnsi="Times New Roman" w:eastAsia="宋体" w:cs="Times New Roman"/>
                      <w:b/>
                      <w:bCs/>
                      <w:szCs w:val="21"/>
                    </w:rPr>
                  </w:pPr>
                  <w:r>
                    <w:rPr>
                      <w:rFonts w:ascii="Times New Roman" w:hAnsi="Times New Roman" w:eastAsia="宋体" w:cs="Times New Roman"/>
                      <w:b/>
                      <w:bCs/>
                      <w:szCs w:val="21"/>
                    </w:rPr>
                    <w:t>监测时间</w:t>
                  </w:r>
                </w:p>
              </w:tc>
              <w:tc>
                <w:tcPr>
                  <w:tcW w:w="469" w:type="pct"/>
                  <w:vAlign w:val="center"/>
                </w:tcPr>
                <w:p>
                  <w:pPr>
                    <w:rPr>
                      <w:rFonts w:ascii="Times New Roman" w:hAnsi="Times New Roman" w:eastAsia="宋体" w:cs="Times New Roman"/>
                      <w:b/>
                      <w:bCs/>
                      <w:szCs w:val="21"/>
                    </w:rPr>
                  </w:pPr>
                  <w:r>
                    <w:rPr>
                      <w:rFonts w:ascii="Times New Roman" w:hAnsi="Times New Roman" w:eastAsia="宋体" w:cs="Times New Roman"/>
                      <w:b/>
                      <w:bCs/>
                      <w:szCs w:val="21"/>
                    </w:rPr>
                    <w:t>所在河流、胡库</w:t>
                  </w:r>
                </w:p>
              </w:tc>
              <w:tc>
                <w:tcPr>
                  <w:tcW w:w="609" w:type="pct"/>
                  <w:vAlign w:val="center"/>
                </w:tcPr>
                <w:p>
                  <w:pPr>
                    <w:rPr>
                      <w:rFonts w:ascii="Times New Roman" w:hAnsi="Times New Roman" w:eastAsia="宋体" w:cs="Times New Roman"/>
                      <w:b/>
                      <w:bCs/>
                      <w:szCs w:val="21"/>
                    </w:rPr>
                  </w:pPr>
                  <w:r>
                    <w:rPr>
                      <w:rFonts w:ascii="Times New Roman" w:hAnsi="Times New Roman" w:eastAsia="宋体" w:cs="Times New Roman"/>
                      <w:b/>
                      <w:bCs/>
                      <w:szCs w:val="21"/>
                    </w:rPr>
                    <w:t>断面名称</w:t>
                  </w:r>
                </w:p>
              </w:tc>
              <w:tc>
                <w:tcPr>
                  <w:tcW w:w="504" w:type="pct"/>
                  <w:vAlign w:val="center"/>
                </w:tcPr>
                <w:p>
                  <w:pPr>
                    <w:rPr>
                      <w:rFonts w:ascii="Times New Roman" w:hAnsi="Times New Roman" w:eastAsia="宋体" w:cs="Times New Roman"/>
                      <w:b/>
                      <w:bCs/>
                      <w:szCs w:val="21"/>
                    </w:rPr>
                  </w:pPr>
                  <w:r>
                    <w:rPr>
                      <w:rFonts w:ascii="Times New Roman" w:hAnsi="Times New Roman" w:eastAsia="宋体" w:cs="Times New Roman"/>
                      <w:b/>
                      <w:bCs/>
                      <w:szCs w:val="21"/>
                    </w:rPr>
                    <w:t>所在县市区</w:t>
                  </w:r>
                </w:p>
              </w:tc>
              <w:tc>
                <w:tcPr>
                  <w:tcW w:w="484" w:type="pct"/>
                  <w:vAlign w:val="center"/>
                </w:tcPr>
                <w:p>
                  <w:pPr>
                    <w:rPr>
                      <w:rFonts w:ascii="Times New Roman" w:hAnsi="Times New Roman" w:eastAsia="宋体" w:cs="Times New Roman"/>
                      <w:b/>
                      <w:bCs/>
                      <w:szCs w:val="21"/>
                    </w:rPr>
                  </w:pPr>
                  <w:r>
                    <w:rPr>
                      <w:rFonts w:ascii="Times New Roman" w:hAnsi="Times New Roman" w:eastAsia="宋体" w:cs="Times New Roman"/>
                      <w:b/>
                      <w:bCs/>
                      <w:szCs w:val="21"/>
                    </w:rPr>
                    <w:t>考核县市区</w:t>
                  </w:r>
                </w:p>
              </w:tc>
              <w:tc>
                <w:tcPr>
                  <w:tcW w:w="535" w:type="pct"/>
                  <w:vAlign w:val="center"/>
                </w:tcPr>
                <w:p>
                  <w:pPr>
                    <w:rPr>
                      <w:rFonts w:ascii="Times New Roman" w:hAnsi="Times New Roman" w:eastAsia="宋体" w:cs="Times New Roman"/>
                      <w:b/>
                      <w:bCs/>
                      <w:szCs w:val="21"/>
                    </w:rPr>
                  </w:pPr>
                  <w:r>
                    <w:rPr>
                      <w:rFonts w:ascii="Times New Roman" w:hAnsi="Times New Roman" w:eastAsia="宋体" w:cs="Times New Roman"/>
                      <w:b/>
                      <w:bCs/>
                      <w:szCs w:val="21"/>
                    </w:rPr>
                    <w:t>断面属性/级别</w:t>
                  </w:r>
                </w:p>
              </w:tc>
              <w:tc>
                <w:tcPr>
                  <w:tcW w:w="721" w:type="pct"/>
                  <w:vAlign w:val="center"/>
                </w:tcPr>
                <w:p>
                  <w:pPr>
                    <w:rPr>
                      <w:rFonts w:ascii="Times New Roman" w:hAnsi="Times New Roman" w:eastAsia="宋体" w:cs="Times New Roman"/>
                      <w:b/>
                      <w:bCs/>
                      <w:szCs w:val="21"/>
                    </w:rPr>
                  </w:pPr>
                  <w:r>
                    <w:rPr>
                      <w:rFonts w:ascii="Times New Roman" w:hAnsi="Times New Roman" w:eastAsia="宋体" w:cs="Times New Roman"/>
                      <w:b/>
                      <w:bCs/>
                      <w:szCs w:val="21"/>
                    </w:rPr>
                    <w:t>“水十条”水质目标或水功能区划</w:t>
                  </w:r>
                </w:p>
              </w:tc>
              <w:tc>
                <w:tcPr>
                  <w:tcW w:w="525" w:type="pct"/>
                  <w:vAlign w:val="center"/>
                </w:tcPr>
                <w:p>
                  <w:pPr>
                    <w:rPr>
                      <w:rFonts w:ascii="Times New Roman" w:hAnsi="Times New Roman" w:eastAsia="宋体" w:cs="Times New Roman"/>
                      <w:b/>
                      <w:bCs/>
                      <w:szCs w:val="21"/>
                    </w:rPr>
                  </w:pPr>
                  <w:r>
                    <w:rPr>
                      <w:rFonts w:ascii="Times New Roman" w:hAnsi="Times New Roman" w:eastAsia="宋体" w:cs="Times New Roman"/>
                      <w:b/>
                      <w:bCs/>
                      <w:szCs w:val="21"/>
                    </w:rPr>
                    <w:t>水质类别</w:t>
                  </w:r>
                </w:p>
              </w:tc>
              <w:tc>
                <w:tcPr>
                  <w:tcW w:w="546" w:type="pct"/>
                  <w:vAlign w:val="center"/>
                </w:tcPr>
                <w:p>
                  <w:pPr>
                    <w:rPr>
                      <w:rFonts w:ascii="Times New Roman" w:hAnsi="Times New Roman" w:eastAsia="宋体" w:cs="Times New Roman"/>
                      <w:b/>
                      <w:bCs/>
                      <w:szCs w:val="21"/>
                    </w:rPr>
                  </w:pPr>
                  <w:r>
                    <w:rPr>
                      <w:rFonts w:ascii="Times New Roman" w:hAnsi="Times New Roman" w:eastAsia="宋体" w:cs="Times New Roman"/>
                      <w:b/>
                      <w:bCs/>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07" w:type="pct"/>
                  <w:vAlign w:val="center"/>
                </w:tcPr>
                <w:p>
                  <w:pPr>
                    <w:rPr>
                      <w:rFonts w:ascii="Times New Roman" w:hAnsi="Times New Roman" w:eastAsia="宋体" w:cs="Times New Roman"/>
                      <w:szCs w:val="21"/>
                    </w:rPr>
                  </w:pPr>
                  <w:r>
                    <w:rPr>
                      <w:rFonts w:hint="eastAsia" w:ascii="Times New Roman" w:hAnsi="Times New Roman" w:eastAsia="宋体" w:cs="Times New Roman"/>
                      <w:szCs w:val="21"/>
                    </w:rPr>
                    <w:t>2022</w:t>
                  </w:r>
                  <w:r>
                    <w:rPr>
                      <w:rFonts w:ascii="Times New Roman" w:hAnsi="Times New Roman" w:eastAsia="宋体" w:cs="Times New Roman"/>
                      <w:szCs w:val="21"/>
                    </w:rPr>
                    <w:t>年1月</w:t>
                  </w:r>
                </w:p>
              </w:tc>
              <w:tc>
                <w:tcPr>
                  <w:tcW w:w="469" w:type="pct"/>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湘江</w:t>
                  </w:r>
                </w:p>
                <w:p>
                  <w:pPr>
                    <w:jc w:val="center"/>
                    <w:rPr>
                      <w:rFonts w:ascii="Times New Roman" w:hAnsi="Times New Roman" w:eastAsia="宋体" w:cs="Times New Roman"/>
                      <w:szCs w:val="21"/>
                    </w:rPr>
                  </w:pPr>
                  <w:r>
                    <w:rPr>
                      <w:rFonts w:hint="eastAsia" w:ascii="Times New Roman" w:hAnsi="Times New Roman" w:eastAsia="宋体" w:cs="Times New Roman"/>
                      <w:szCs w:val="21"/>
                    </w:rPr>
                    <w:t>耒水</w:t>
                  </w:r>
                </w:p>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p>
              </w:tc>
              <w:tc>
                <w:tcPr>
                  <w:tcW w:w="609" w:type="pct"/>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shd w:val="clear" w:color="auto" w:fill="FFFFFF"/>
                    </w:rPr>
                    <w:t>大河滩</w:t>
                  </w:r>
                </w:p>
              </w:tc>
              <w:tc>
                <w:tcPr>
                  <w:tcW w:w="504" w:type="pct"/>
                  <w:vMerge w:val="restart"/>
                  <w:vAlign w:val="center"/>
                </w:tcPr>
                <w:p>
                  <w:pPr>
                    <w:rPr>
                      <w:rFonts w:ascii="Times New Roman" w:hAnsi="Times New Roman" w:eastAsia="宋体" w:cs="Times New Roman"/>
                      <w:szCs w:val="21"/>
                    </w:rPr>
                  </w:pPr>
                  <w:r>
                    <w:rPr>
                      <w:rFonts w:hint="eastAsia" w:ascii="Times New Roman" w:hAnsi="Times New Roman" w:eastAsia="宋体" w:cs="Times New Roman"/>
                      <w:szCs w:val="21"/>
                    </w:rPr>
                    <w:t>衡阳市</w:t>
                  </w:r>
                </w:p>
                <w:p>
                  <w:pPr>
                    <w:rPr>
                      <w:rFonts w:ascii="Times New Roman" w:hAnsi="Times New Roman" w:eastAsia="宋体" w:cs="Times New Roman"/>
                      <w:szCs w:val="21"/>
                    </w:rPr>
                  </w:pPr>
                  <w:r>
                    <w:rPr>
                      <w:rFonts w:hint="eastAsia" w:ascii="Times New Roman" w:hAnsi="Times New Roman" w:eastAsia="宋体" w:cs="Times New Roman"/>
                      <w:szCs w:val="21"/>
                    </w:rPr>
                    <w:t>耒阳市</w:t>
                  </w:r>
                </w:p>
              </w:tc>
              <w:tc>
                <w:tcPr>
                  <w:tcW w:w="484" w:type="pct"/>
                  <w:vMerge w:val="restart"/>
                  <w:vAlign w:val="center"/>
                </w:tcPr>
                <w:p>
                  <w:pPr>
                    <w:rPr>
                      <w:rFonts w:ascii="Times New Roman" w:hAnsi="Times New Roman" w:eastAsia="宋体" w:cs="Times New Roman"/>
                      <w:szCs w:val="21"/>
                    </w:rPr>
                  </w:pPr>
                  <w:r>
                    <w:rPr>
                      <w:rFonts w:ascii="Times New Roman" w:hAnsi="Times New Roman" w:eastAsia="宋体" w:cs="Times New Roman"/>
                      <w:szCs w:val="21"/>
                    </w:rPr>
                    <w:t>永兴</w:t>
                  </w:r>
                  <w:r>
                    <w:rPr>
                      <w:rFonts w:hint="eastAsia" w:ascii="Times New Roman" w:hAnsi="Times New Roman" w:eastAsia="宋体" w:cs="Times New Roman"/>
                      <w:szCs w:val="21"/>
                    </w:rPr>
                    <w:t>县</w:t>
                  </w:r>
                </w:p>
              </w:tc>
              <w:tc>
                <w:tcPr>
                  <w:tcW w:w="535" w:type="pct"/>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国控断面</w:t>
                  </w:r>
                </w:p>
              </w:tc>
              <w:tc>
                <w:tcPr>
                  <w:tcW w:w="721" w:type="pct"/>
                  <w:vMerge w:val="restart"/>
                  <w:vAlign w:val="center"/>
                </w:tcPr>
                <w:p>
                  <w:pPr>
                    <w:rPr>
                      <w:rFonts w:ascii="Times New Roman" w:hAnsi="Times New Roman" w:eastAsia="宋体" w:cs="Times New Roman"/>
                      <w:szCs w:val="21"/>
                    </w:rPr>
                  </w:pPr>
                  <w:r>
                    <w:rPr>
                      <w:rFonts w:ascii="Times New Roman" w:hAnsi="Times New Roman" w:eastAsia="宋体" w:cs="Times New Roman"/>
                      <w:szCs w:val="21"/>
                    </w:rPr>
                    <w:t>II</w:t>
                  </w:r>
                </w:p>
              </w:tc>
              <w:tc>
                <w:tcPr>
                  <w:tcW w:w="525" w:type="pct"/>
                  <w:vAlign w:val="center"/>
                </w:tcPr>
                <w:p>
                  <w:pPr>
                    <w:rPr>
                      <w:rFonts w:ascii="Times New Roman" w:hAnsi="Times New Roman" w:eastAsia="宋体" w:cs="Times New Roman"/>
                      <w:szCs w:val="21"/>
                    </w:rPr>
                  </w:pPr>
                  <w:r>
                    <w:rPr>
                      <w:rFonts w:ascii="Times New Roman" w:hAnsi="Times New Roman" w:eastAsia="宋体" w:cs="Times New Roman"/>
                      <w:szCs w:val="21"/>
                    </w:rPr>
                    <w:t>II</w:t>
                  </w:r>
                </w:p>
              </w:tc>
              <w:tc>
                <w:tcPr>
                  <w:tcW w:w="546" w:type="pct"/>
                  <w:vAlign w:val="center"/>
                </w:tcPr>
                <w:p>
                  <w:pP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vAlign w:val="center"/>
                </w:tcPr>
                <w:p>
                  <w:pPr>
                    <w:rPr>
                      <w:rFonts w:ascii="Times New Roman" w:hAnsi="Times New Roman" w:eastAsia="宋体" w:cs="Times New Roman"/>
                      <w:szCs w:val="21"/>
                    </w:rPr>
                  </w:pPr>
                  <w:r>
                    <w:rPr>
                      <w:rFonts w:hint="eastAsia" w:ascii="Times New Roman" w:hAnsi="Times New Roman" w:eastAsia="宋体" w:cs="Times New Roman"/>
                      <w:szCs w:val="21"/>
                    </w:rPr>
                    <w:t>2022</w:t>
                  </w:r>
                  <w:r>
                    <w:rPr>
                      <w:rFonts w:ascii="Times New Roman" w:hAnsi="Times New Roman" w:eastAsia="宋体" w:cs="Times New Roman"/>
                      <w:szCs w:val="21"/>
                    </w:rPr>
                    <w:t>年2月</w:t>
                  </w:r>
                </w:p>
              </w:tc>
              <w:tc>
                <w:tcPr>
                  <w:tcW w:w="469" w:type="pct"/>
                  <w:vMerge w:val="continue"/>
                  <w:vAlign w:val="center"/>
                </w:tcPr>
                <w:p>
                  <w:pPr>
                    <w:jc w:val="center"/>
                    <w:rPr>
                      <w:rFonts w:ascii="Times New Roman" w:hAnsi="Times New Roman" w:eastAsia="宋体" w:cs="Times New Roman"/>
                      <w:szCs w:val="21"/>
                    </w:rPr>
                  </w:pPr>
                </w:p>
              </w:tc>
              <w:tc>
                <w:tcPr>
                  <w:tcW w:w="609" w:type="pct"/>
                  <w:vMerge w:val="continue"/>
                  <w:vAlign w:val="center"/>
                </w:tcPr>
                <w:p>
                  <w:pPr>
                    <w:rPr>
                      <w:rFonts w:ascii="Times New Roman" w:hAnsi="Times New Roman" w:eastAsia="宋体" w:cs="Times New Roman"/>
                      <w:szCs w:val="21"/>
                    </w:rPr>
                  </w:pPr>
                </w:p>
              </w:tc>
              <w:tc>
                <w:tcPr>
                  <w:tcW w:w="504" w:type="pct"/>
                  <w:vMerge w:val="continue"/>
                  <w:vAlign w:val="center"/>
                </w:tcPr>
                <w:p>
                  <w:pPr>
                    <w:rPr>
                      <w:rFonts w:ascii="Times New Roman" w:hAnsi="Times New Roman" w:eastAsia="宋体" w:cs="Times New Roman"/>
                      <w:szCs w:val="21"/>
                    </w:rPr>
                  </w:pPr>
                </w:p>
              </w:tc>
              <w:tc>
                <w:tcPr>
                  <w:tcW w:w="484" w:type="pct"/>
                  <w:vMerge w:val="continue"/>
                  <w:vAlign w:val="center"/>
                </w:tcPr>
                <w:p>
                  <w:pPr>
                    <w:rPr>
                      <w:rFonts w:ascii="Times New Roman" w:hAnsi="Times New Roman" w:eastAsia="宋体" w:cs="Times New Roman"/>
                      <w:szCs w:val="21"/>
                    </w:rPr>
                  </w:pPr>
                </w:p>
              </w:tc>
              <w:tc>
                <w:tcPr>
                  <w:tcW w:w="535" w:type="pct"/>
                  <w:vMerge w:val="continue"/>
                  <w:vAlign w:val="center"/>
                </w:tcPr>
                <w:p>
                  <w:pPr>
                    <w:rPr>
                      <w:rFonts w:ascii="Times New Roman" w:hAnsi="Times New Roman" w:eastAsia="宋体" w:cs="Times New Roman"/>
                      <w:szCs w:val="21"/>
                      <w:shd w:val="clear" w:color="auto" w:fill="FFFFFF"/>
                    </w:rPr>
                  </w:pPr>
                </w:p>
              </w:tc>
              <w:tc>
                <w:tcPr>
                  <w:tcW w:w="721" w:type="pct"/>
                  <w:vMerge w:val="continue"/>
                  <w:vAlign w:val="center"/>
                </w:tcPr>
                <w:p>
                  <w:pPr>
                    <w:rPr>
                      <w:rFonts w:ascii="Times New Roman" w:hAnsi="Times New Roman" w:eastAsia="宋体" w:cs="Times New Roman"/>
                      <w:szCs w:val="21"/>
                    </w:rPr>
                  </w:pPr>
                </w:p>
              </w:tc>
              <w:tc>
                <w:tcPr>
                  <w:tcW w:w="525" w:type="pct"/>
                  <w:vAlign w:val="center"/>
                </w:tcPr>
                <w:p>
                  <w:pPr>
                    <w:rPr>
                      <w:rFonts w:ascii="Times New Roman" w:hAnsi="Times New Roman" w:eastAsia="宋体" w:cs="Times New Roman"/>
                      <w:szCs w:val="21"/>
                    </w:rPr>
                  </w:pPr>
                  <w:r>
                    <w:rPr>
                      <w:rFonts w:ascii="Times New Roman" w:hAnsi="Times New Roman" w:eastAsia="宋体" w:cs="Times New Roman"/>
                      <w:szCs w:val="21"/>
                    </w:rPr>
                    <w:t>II</w:t>
                  </w:r>
                </w:p>
              </w:tc>
              <w:tc>
                <w:tcPr>
                  <w:tcW w:w="546" w:type="pct"/>
                  <w:vAlign w:val="center"/>
                </w:tcPr>
                <w:p>
                  <w:pP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vAlign w:val="center"/>
                </w:tcPr>
                <w:p>
                  <w:pPr>
                    <w:rPr>
                      <w:rFonts w:ascii="Times New Roman" w:hAnsi="Times New Roman" w:eastAsia="宋体" w:cs="Times New Roman"/>
                      <w:szCs w:val="21"/>
                    </w:rPr>
                  </w:pPr>
                  <w:r>
                    <w:rPr>
                      <w:rFonts w:hint="eastAsia" w:ascii="Times New Roman" w:hAnsi="Times New Roman" w:eastAsia="宋体" w:cs="Times New Roman"/>
                      <w:szCs w:val="21"/>
                    </w:rPr>
                    <w:t>2022</w:t>
                  </w:r>
                  <w:r>
                    <w:rPr>
                      <w:rFonts w:ascii="Times New Roman" w:hAnsi="Times New Roman" w:eastAsia="宋体" w:cs="Times New Roman"/>
                      <w:szCs w:val="21"/>
                    </w:rPr>
                    <w:t>年3月</w:t>
                  </w:r>
                </w:p>
              </w:tc>
              <w:tc>
                <w:tcPr>
                  <w:tcW w:w="469" w:type="pct"/>
                  <w:vMerge w:val="continue"/>
                  <w:vAlign w:val="center"/>
                </w:tcPr>
                <w:p>
                  <w:pPr>
                    <w:jc w:val="center"/>
                    <w:rPr>
                      <w:rFonts w:ascii="Times New Roman" w:hAnsi="Times New Roman" w:eastAsia="宋体" w:cs="Times New Roman"/>
                      <w:szCs w:val="21"/>
                    </w:rPr>
                  </w:pPr>
                </w:p>
              </w:tc>
              <w:tc>
                <w:tcPr>
                  <w:tcW w:w="609" w:type="pct"/>
                  <w:vMerge w:val="continue"/>
                  <w:vAlign w:val="center"/>
                </w:tcPr>
                <w:p>
                  <w:pPr>
                    <w:rPr>
                      <w:rFonts w:ascii="Times New Roman" w:hAnsi="Times New Roman" w:eastAsia="宋体" w:cs="Times New Roman"/>
                      <w:szCs w:val="21"/>
                    </w:rPr>
                  </w:pPr>
                </w:p>
              </w:tc>
              <w:tc>
                <w:tcPr>
                  <w:tcW w:w="504" w:type="pct"/>
                  <w:vMerge w:val="continue"/>
                  <w:vAlign w:val="center"/>
                </w:tcPr>
                <w:p>
                  <w:pPr>
                    <w:rPr>
                      <w:rFonts w:ascii="Times New Roman" w:hAnsi="Times New Roman" w:eastAsia="宋体" w:cs="Times New Roman"/>
                      <w:szCs w:val="21"/>
                    </w:rPr>
                  </w:pPr>
                </w:p>
              </w:tc>
              <w:tc>
                <w:tcPr>
                  <w:tcW w:w="484" w:type="pct"/>
                  <w:vMerge w:val="continue"/>
                  <w:vAlign w:val="center"/>
                </w:tcPr>
                <w:p>
                  <w:pPr>
                    <w:rPr>
                      <w:rFonts w:ascii="Times New Roman" w:hAnsi="Times New Roman" w:eastAsia="宋体" w:cs="Times New Roman"/>
                      <w:szCs w:val="21"/>
                    </w:rPr>
                  </w:pPr>
                </w:p>
              </w:tc>
              <w:tc>
                <w:tcPr>
                  <w:tcW w:w="535" w:type="pct"/>
                  <w:vMerge w:val="continue"/>
                  <w:vAlign w:val="center"/>
                </w:tcPr>
                <w:p>
                  <w:pPr>
                    <w:rPr>
                      <w:rFonts w:ascii="Times New Roman" w:hAnsi="Times New Roman" w:eastAsia="宋体" w:cs="Times New Roman"/>
                      <w:szCs w:val="21"/>
                      <w:shd w:val="clear" w:color="auto" w:fill="FFFFFF"/>
                    </w:rPr>
                  </w:pPr>
                </w:p>
              </w:tc>
              <w:tc>
                <w:tcPr>
                  <w:tcW w:w="721" w:type="pct"/>
                  <w:vMerge w:val="continue"/>
                  <w:vAlign w:val="center"/>
                </w:tcPr>
                <w:p>
                  <w:pPr>
                    <w:rPr>
                      <w:rFonts w:ascii="Times New Roman" w:hAnsi="Times New Roman" w:eastAsia="宋体" w:cs="Times New Roman"/>
                      <w:szCs w:val="21"/>
                    </w:rPr>
                  </w:pPr>
                </w:p>
              </w:tc>
              <w:tc>
                <w:tcPr>
                  <w:tcW w:w="525" w:type="pct"/>
                  <w:vAlign w:val="center"/>
                </w:tcPr>
                <w:p>
                  <w:pPr>
                    <w:rPr>
                      <w:rFonts w:ascii="Times New Roman" w:hAnsi="Times New Roman" w:eastAsia="宋体" w:cs="Times New Roman"/>
                      <w:szCs w:val="21"/>
                    </w:rPr>
                  </w:pPr>
                  <w:r>
                    <w:rPr>
                      <w:rFonts w:ascii="Times New Roman" w:hAnsi="Times New Roman" w:eastAsia="宋体" w:cs="Times New Roman"/>
                      <w:szCs w:val="21"/>
                    </w:rPr>
                    <w:t>II</w:t>
                  </w:r>
                </w:p>
              </w:tc>
              <w:tc>
                <w:tcPr>
                  <w:tcW w:w="546" w:type="pct"/>
                  <w:vAlign w:val="center"/>
                </w:tcPr>
                <w:p>
                  <w:pP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2022</w:t>
                  </w:r>
                  <w:r>
                    <w:rPr>
                      <w:rFonts w:ascii="Times New Roman" w:hAnsi="Times New Roman" w:eastAsia="宋体" w:cs="Times New Roman"/>
                      <w:szCs w:val="21"/>
                    </w:rPr>
                    <w:t>年4月</w:t>
                  </w:r>
                </w:p>
              </w:tc>
              <w:tc>
                <w:tcPr>
                  <w:tcW w:w="469" w:type="pct"/>
                  <w:vMerge w:val="continue"/>
                  <w:vAlign w:val="center"/>
                </w:tcPr>
                <w:p>
                  <w:pPr>
                    <w:jc w:val="center"/>
                    <w:rPr>
                      <w:rFonts w:ascii="Times New Roman" w:hAnsi="Times New Roman" w:eastAsia="宋体" w:cs="Times New Roman"/>
                      <w:szCs w:val="21"/>
                    </w:rPr>
                  </w:pPr>
                </w:p>
              </w:tc>
              <w:tc>
                <w:tcPr>
                  <w:tcW w:w="609" w:type="pct"/>
                  <w:vMerge w:val="continue"/>
                  <w:vAlign w:val="center"/>
                </w:tcPr>
                <w:p>
                  <w:pPr>
                    <w:rPr>
                      <w:rFonts w:ascii="Times New Roman" w:hAnsi="Times New Roman" w:eastAsia="宋体" w:cs="Times New Roman"/>
                      <w:szCs w:val="21"/>
                    </w:rPr>
                  </w:pPr>
                </w:p>
              </w:tc>
              <w:tc>
                <w:tcPr>
                  <w:tcW w:w="504" w:type="pct"/>
                  <w:vMerge w:val="continue"/>
                  <w:vAlign w:val="center"/>
                </w:tcPr>
                <w:p>
                  <w:pPr>
                    <w:rPr>
                      <w:rFonts w:ascii="Times New Roman" w:hAnsi="Times New Roman" w:eastAsia="宋体" w:cs="Times New Roman"/>
                      <w:szCs w:val="21"/>
                    </w:rPr>
                  </w:pPr>
                </w:p>
              </w:tc>
              <w:tc>
                <w:tcPr>
                  <w:tcW w:w="484" w:type="pct"/>
                  <w:vMerge w:val="continue"/>
                  <w:vAlign w:val="center"/>
                </w:tcPr>
                <w:p>
                  <w:pPr>
                    <w:rPr>
                      <w:rFonts w:ascii="Times New Roman" w:hAnsi="Times New Roman" w:eastAsia="宋体" w:cs="Times New Roman"/>
                      <w:szCs w:val="21"/>
                    </w:rPr>
                  </w:pPr>
                </w:p>
              </w:tc>
              <w:tc>
                <w:tcPr>
                  <w:tcW w:w="535" w:type="pct"/>
                  <w:vMerge w:val="continue"/>
                  <w:vAlign w:val="center"/>
                </w:tcPr>
                <w:p>
                  <w:pPr>
                    <w:rPr>
                      <w:rFonts w:ascii="Times New Roman" w:hAnsi="Times New Roman" w:eastAsia="宋体" w:cs="Times New Roman"/>
                      <w:szCs w:val="21"/>
                      <w:shd w:val="clear" w:color="auto" w:fill="FFFFFF"/>
                    </w:rPr>
                  </w:pPr>
                </w:p>
              </w:tc>
              <w:tc>
                <w:tcPr>
                  <w:tcW w:w="721" w:type="pct"/>
                  <w:vMerge w:val="continue"/>
                  <w:vAlign w:val="center"/>
                </w:tcPr>
                <w:p>
                  <w:pPr>
                    <w:rPr>
                      <w:rFonts w:ascii="Times New Roman" w:hAnsi="Times New Roman" w:eastAsia="宋体" w:cs="Times New Roman"/>
                      <w:szCs w:val="21"/>
                    </w:rPr>
                  </w:pPr>
                </w:p>
              </w:tc>
              <w:tc>
                <w:tcPr>
                  <w:tcW w:w="525" w:type="pct"/>
                  <w:vAlign w:val="center"/>
                </w:tcPr>
                <w:p>
                  <w:pPr>
                    <w:rPr>
                      <w:rFonts w:ascii="Times New Roman" w:hAnsi="Times New Roman" w:eastAsia="宋体" w:cs="Times New Roman"/>
                      <w:szCs w:val="21"/>
                    </w:rPr>
                  </w:pPr>
                  <w:r>
                    <w:rPr>
                      <w:rFonts w:ascii="Times New Roman" w:hAnsi="Times New Roman" w:eastAsia="宋体" w:cs="Times New Roman"/>
                      <w:szCs w:val="21"/>
                    </w:rPr>
                    <w:t>II</w:t>
                  </w:r>
                </w:p>
              </w:tc>
              <w:tc>
                <w:tcPr>
                  <w:tcW w:w="546" w:type="pct"/>
                  <w:vAlign w:val="center"/>
                </w:tcPr>
                <w:p>
                  <w:pP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2022</w:t>
                  </w:r>
                  <w:r>
                    <w:rPr>
                      <w:rFonts w:ascii="Times New Roman" w:hAnsi="Times New Roman" w:eastAsia="宋体" w:cs="Times New Roman"/>
                      <w:szCs w:val="21"/>
                    </w:rPr>
                    <w:t>年5月</w:t>
                  </w:r>
                </w:p>
              </w:tc>
              <w:tc>
                <w:tcPr>
                  <w:tcW w:w="469" w:type="pct"/>
                  <w:vMerge w:val="continue"/>
                  <w:vAlign w:val="center"/>
                </w:tcPr>
                <w:p>
                  <w:pPr>
                    <w:jc w:val="center"/>
                    <w:rPr>
                      <w:rFonts w:ascii="Times New Roman" w:hAnsi="Times New Roman" w:eastAsia="宋体" w:cs="Times New Roman"/>
                      <w:szCs w:val="21"/>
                    </w:rPr>
                  </w:pPr>
                </w:p>
              </w:tc>
              <w:tc>
                <w:tcPr>
                  <w:tcW w:w="609" w:type="pct"/>
                  <w:vMerge w:val="continue"/>
                  <w:vAlign w:val="center"/>
                </w:tcPr>
                <w:p>
                  <w:pPr>
                    <w:rPr>
                      <w:rFonts w:ascii="Times New Roman" w:hAnsi="Times New Roman" w:eastAsia="宋体" w:cs="Times New Roman"/>
                      <w:szCs w:val="21"/>
                    </w:rPr>
                  </w:pPr>
                </w:p>
              </w:tc>
              <w:tc>
                <w:tcPr>
                  <w:tcW w:w="504" w:type="pct"/>
                  <w:vMerge w:val="continue"/>
                  <w:vAlign w:val="center"/>
                </w:tcPr>
                <w:p>
                  <w:pPr>
                    <w:rPr>
                      <w:rFonts w:ascii="Times New Roman" w:hAnsi="Times New Roman" w:eastAsia="宋体" w:cs="Times New Roman"/>
                      <w:szCs w:val="21"/>
                    </w:rPr>
                  </w:pPr>
                </w:p>
              </w:tc>
              <w:tc>
                <w:tcPr>
                  <w:tcW w:w="484" w:type="pct"/>
                  <w:vMerge w:val="continue"/>
                  <w:vAlign w:val="center"/>
                </w:tcPr>
                <w:p>
                  <w:pPr>
                    <w:rPr>
                      <w:rFonts w:ascii="Times New Roman" w:hAnsi="Times New Roman" w:eastAsia="宋体" w:cs="Times New Roman"/>
                      <w:szCs w:val="21"/>
                    </w:rPr>
                  </w:pPr>
                </w:p>
              </w:tc>
              <w:tc>
                <w:tcPr>
                  <w:tcW w:w="535" w:type="pct"/>
                  <w:vMerge w:val="continue"/>
                  <w:vAlign w:val="center"/>
                </w:tcPr>
                <w:p>
                  <w:pPr>
                    <w:rPr>
                      <w:rFonts w:ascii="Times New Roman" w:hAnsi="Times New Roman" w:eastAsia="宋体" w:cs="Times New Roman"/>
                      <w:szCs w:val="21"/>
                      <w:shd w:val="clear" w:color="auto" w:fill="FFFFFF"/>
                    </w:rPr>
                  </w:pPr>
                </w:p>
              </w:tc>
              <w:tc>
                <w:tcPr>
                  <w:tcW w:w="721" w:type="pct"/>
                  <w:vMerge w:val="continue"/>
                  <w:vAlign w:val="center"/>
                </w:tcPr>
                <w:p>
                  <w:pPr>
                    <w:rPr>
                      <w:rFonts w:ascii="Times New Roman" w:hAnsi="Times New Roman" w:eastAsia="宋体" w:cs="Times New Roman"/>
                      <w:szCs w:val="21"/>
                    </w:rPr>
                  </w:pPr>
                </w:p>
              </w:tc>
              <w:tc>
                <w:tcPr>
                  <w:tcW w:w="525" w:type="pct"/>
                  <w:vAlign w:val="center"/>
                </w:tcPr>
                <w:p>
                  <w:pPr>
                    <w:rPr>
                      <w:rFonts w:ascii="Times New Roman" w:hAnsi="Times New Roman" w:eastAsia="宋体" w:cs="Times New Roman"/>
                      <w:szCs w:val="21"/>
                    </w:rPr>
                  </w:pPr>
                  <w:r>
                    <w:rPr>
                      <w:rFonts w:ascii="Times New Roman" w:hAnsi="Times New Roman" w:eastAsia="宋体" w:cs="Times New Roman"/>
                      <w:szCs w:val="21"/>
                    </w:rPr>
                    <w:t>II</w:t>
                  </w:r>
                </w:p>
              </w:tc>
              <w:tc>
                <w:tcPr>
                  <w:tcW w:w="546" w:type="pct"/>
                  <w:vAlign w:val="center"/>
                </w:tcPr>
                <w:p>
                  <w:pP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vAlign w:val="center"/>
                </w:tcPr>
                <w:p>
                  <w:pPr>
                    <w:rPr>
                      <w:rFonts w:ascii="Times New Roman" w:hAnsi="Times New Roman" w:eastAsia="宋体" w:cs="Times New Roman"/>
                      <w:szCs w:val="21"/>
                    </w:rPr>
                  </w:pPr>
                  <w:r>
                    <w:rPr>
                      <w:rFonts w:hint="eastAsia" w:ascii="Times New Roman" w:hAnsi="Times New Roman" w:eastAsia="宋体" w:cs="Times New Roman"/>
                      <w:szCs w:val="21"/>
                    </w:rPr>
                    <w:t>2022</w:t>
                  </w:r>
                  <w:r>
                    <w:rPr>
                      <w:rFonts w:ascii="Times New Roman" w:hAnsi="Times New Roman" w:eastAsia="宋体" w:cs="Times New Roman"/>
                      <w:szCs w:val="21"/>
                    </w:rPr>
                    <w:t>年6月</w:t>
                  </w:r>
                </w:p>
              </w:tc>
              <w:tc>
                <w:tcPr>
                  <w:tcW w:w="469" w:type="pct"/>
                  <w:vMerge w:val="continue"/>
                  <w:vAlign w:val="center"/>
                </w:tcPr>
                <w:p>
                  <w:pPr>
                    <w:jc w:val="center"/>
                    <w:rPr>
                      <w:rFonts w:ascii="Times New Roman" w:hAnsi="Times New Roman" w:eastAsia="宋体" w:cs="Times New Roman"/>
                      <w:szCs w:val="21"/>
                    </w:rPr>
                  </w:pPr>
                </w:p>
              </w:tc>
              <w:tc>
                <w:tcPr>
                  <w:tcW w:w="609" w:type="pct"/>
                  <w:vMerge w:val="continue"/>
                  <w:vAlign w:val="center"/>
                </w:tcPr>
                <w:p>
                  <w:pPr>
                    <w:rPr>
                      <w:rFonts w:ascii="Times New Roman" w:hAnsi="Times New Roman" w:eastAsia="宋体" w:cs="Times New Roman"/>
                      <w:szCs w:val="21"/>
                    </w:rPr>
                  </w:pPr>
                </w:p>
              </w:tc>
              <w:tc>
                <w:tcPr>
                  <w:tcW w:w="504" w:type="pct"/>
                  <w:vMerge w:val="continue"/>
                  <w:vAlign w:val="center"/>
                </w:tcPr>
                <w:p>
                  <w:pPr>
                    <w:rPr>
                      <w:rFonts w:ascii="Times New Roman" w:hAnsi="Times New Roman" w:eastAsia="宋体" w:cs="Times New Roman"/>
                      <w:szCs w:val="21"/>
                    </w:rPr>
                  </w:pPr>
                </w:p>
              </w:tc>
              <w:tc>
                <w:tcPr>
                  <w:tcW w:w="484" w:type="pct"/>
                  <w:vMerge w:val="continue"/>
                  <w:vAlign w:val="center"/>
                </w:tcPr>
                <w:p>
                  <w:pPr>
                    <w:rPr>
                      <w:rFonts w:ascii="Times New Roman" w:hAnsi="Times New Roman" w:eastAsia="宋体" w:cs="Times New Roman"/>
                      <w:szCs w:val="21"/>
                    </w:rPr>
                  </w:pPr>
                </w:p>
              </w:tc>
              <w:tc>
                <w:tcPr>
                  <w:tcW w:w="535" w:type="pct"/>
                  <w:vMerge w:val="continue"/>
                  <w:vAlign w:val="center"/>
                </w:tcPr>
                <w:p>
                  <w:pPr>
                    <w:rPr>
                      <w:rFonts w:ascii="Times New Roman" w:hAnsi="Times New Roman" w:eastAsia="宋体" w:cs="Times New Roman"/>
                      <w:szCs w:val="21"/>
                      <w:shd w:val="clear" w:color="auto" w:fill="FFFFFF"/>
                    </w:rPr>
                  </w:pPr>
                </w:p>
              </w:tc>
              <w:tc>
                <w:tcPr>
                  <w:tcW w:w="721" w:type="pct"/>
                  <w:vMerge w:val="continue"/>
                  <w:vAlign w:val="center"/>
                </w:tcPr>
                <w:p>
                  <w:pPr>
                    <w:rPr>
                      <w:rFonts w:ascii="Times New Roman" w:hAnsi="Times New Roman" w:eastAsia="宋体" w:cs="Times New Roman"/>
                      <w:szCs w:val="21"/>
                    </w:rPr>
                  </w:pPr>
                </w:p>
              </w:tc>
              <w:tc>
                <w:tcPr>
                  <w:tcW w:w="525" w:type="pct"/>
                  <w:vAlign w:val="center"/>
                </w:tcPr>
                <w:p>
                  <w:pPr>
                    <w:rPr>
                      <w:rFonts w:ascii="Times New Roman" w:hAnsi="Times New Roman" w:eastAsia="宋体" w:cs="Times New Roman"/>
                      <w:szCs w:val="21"/>
                    </w:rPr>
                  </w:pPr>
                  <w:r>
                    <w:rPr>
                      <w:rFonts w:ascii="Times New Roman" w:hAnsi="Times New Roman" w:eastAsia="宋体" w:cs="Times New Roman"/>
                      <w:szCs w:val="21"/>
                    </w:rPr>
                    <w:t>II</w:t>
                  </w:r>
                </w:p>
              </w:tc>
              <w:tc>
                <w:tcPr>
                  <w:tcW w:w="546" w:type="pct"/>
                  <w:vAlign w:val="center"/>
                </w:tcPr>
                <w:p>
                  <w:pP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vAlign w:val="center"/>
                </w:tcPr>
                <w:p>
                  <w:pPr>
                    <w:rPr>
                      <w:rFonts w:ascii="Times New Roman" w:hAnsi="Times New Roman" w:eastAsia="宋体" w:cs="Times New Roman"/>
                      <w:szCs w:val="21"/>
                    </w:rPr>
                  </w:pPr>
                  <w:r>
                    <w:rPr>
                      <w:rFonts w:hint="eastAsia" w:ascii="Times New Roman" w:hAnsi="Times New Roman" w:eastAsia="宋体" w:cs="Times New Roman"/>
                      <w:szCs w:val="21"/>
                    </w:rPr>
                    <w:t>2022</w:t>
                  </w:r>
                  <w:r>
                    <w:rPr>
                      <w:rFonts w:ascii="Times New Roman" w:hAnsi="Times New Roman" w:eastAsia="宋体" w:cs="Times New Roman"/>
                      <w:szCs w:val="21"/>
                    </w:rPr>
                    <w:t>年7月</w:t>
                  </w:r>
                </w:p>
              </w:tc>
              <w:tc>
                <w:tcPr>
                  <w:tcW w:w="469" w:type="pct"/>
                  <w:vMerge w:val="continue"/>
                  <w:vAlign w:val="center"/>
                </w:tcPr>
                <w:p>
                  <w:pPr>
                    <w:jc w:val="center"/>
                    <w:rPr>
                      <w:rFonts w:ascii="Times New Roman" w:hAnsi="Times New Roman" w:eastAsia="宋体" w:cs="Times New Roman"/>
                      <w:szCs w:val="21"/>
                    </w:rPr>
                  </w:pPr>
                </w:p>
              </w:tc>
              <w:tc>
                <w:tcPr>
                  <w:tcW w:w="609" w:type="pct"/>
                  <w:vMerge w:val="continue"/>
                  <w:vAlign w:val="center"/>
                </w:tcPr>
                <w:p>
                  <w:pPr>
                    <w:rPr>
                      <w:rFonts w:ascii="Times New Roman" w:hAnsi="Times New Roman" w:eastAsia="宋体" w:cs="Times New Roman"/>
                      <w:szCs w:val="21"/>
                    </w:rPr>
                  </w:pPr>
                </w:p>
              </w:tc>
              <w:tc>
                <w:tcPr>
                  <w:tcW w:w="504" w:type="pct"/>
                  <w:vMerge w:val="continue"/>
                  <w:vAlign w:val="center"/>
                </w:tcPr>
                <w:p>
                  <w:pPr>
                    <w:rPr>
                      <w:rFonts w:ascii="Times New Roman" w:hAnsi="Times New Roman" w:eastAsia="宋体" w:cs="Times New Roman"/>
                      <w:szCs w:val="21"/>
                    </w:rPr>
                  </w:pPr>
                </w:p>
              </w:tc>
              <w:tc>
                <w:tcPr>
                  <w:tcW w:w="484" w:type="pct"/>
                  <w:vMerge w:val="continue"/>
                  <w:vAlign w:val="center"/>
                </w:tcPr>
                <w:p>
                  <w:pPr>
                    <w:rPr>
                      <w:rFonts w:ascii="Times New Roman" w:hAnsi="Times New Roman" w:eastAsia="宋体" w:cs="Times New Roman"/>
                      <w:szCs w:val="21"/>
                    </w:rPr>
                  </w:pPr>
                </w:p>
              </w:tc>
              <w:tc>
                <w:tcPr>
                  <w:tcW w:w="535" w:type="pct"/>
                  <w:vMerge w:val="continue"/>
                  <w:vAlign w:val="center"/>
                </w:tcPr>
                <w:p>
                  <w:pPr>
                    <w:rPr>
                      <w:rFonts w:ascii="Times New Roman" w:hAnsi="Times New Roman" w:eastAsia="宋体" w:cs="Times New Roman"/>
                      <w:szCs w:val="21"/>
                      <w:shd w:val="clear" w:color="auto" w:fill="FFFFFF"/>
                    </w:rPr>
                  </w:pPr>
                </w:p>
              </w:tc>
              <w:tc>
                <w:tcPr>
                  <w:tcW w:w="721" w:type="pct"/>
                  <w:vMerge w:val="continue"/>
                  <w:vAlign w:val="center"/>
                </w:tcPr>
                <w:p>
                  <w:pPr>
                    <w:rPr>
                      <w:rFonts w:ascii="Times New Roman" w:hAnsi="Times New Roman" w:eastAsia="宋体" w:cs="Times New Roman"/>
                      <w:szCs w:val="21"/>
                    </w:rPr>
                  </w:pPr>
                </w:p>
              </w:tc>
              <w:tc>
                <w:tcPr>
                  <w:tcW w:w="525" w:type="pct"/>
                  <w:vAlign w:val="center"/>
                </w:tcPr>
                <w:p>
                  <w:pPr>
                    <w:rPr>
                      <w:rFonts w:ascii="Times New Roman" w:hAnsi="Times New Roman" w:eastAsia="宋体" w:cs="Times New Roman"/>
                      <w:szCs w:val="21"/>
                    </w:rPr>
                  </w:pPr>
                  <w:r>
                    <w:rPr>
                      <w:rFonts w:ascii="Times New Roman" w:hAnsi="Times New Roman" w:eastAsia="宋体" w:cs="Times New Roman"/>
                      <w:szCs w:val="21"/>
                    </w:rPr>
                    <w:t>II</w:t>
                  </w:r>
                </w:p>
              </w:tc>
              <w:tc>
                <w:tcPr>
                  <w:tcW w:w="546" w:type="pct"/>
                  <w:vAlign w:val="center"/>
                </w:tcPr>
                <w:p>
                  <w:pP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vAlign w:val="center"/>
                </w:tcPr>
                <w:p>
                  <w:pPr>
                    <w:rPr>
                      <w:rFonts w:ascii="Times New Roman" w:hAnsi="Times New Roman" w:eastAsia="宋体" w:cs="Times New Roman"/>
                      <w:szCs w:val="21"/>
                    </w:rPr>
                  </w:pPr>
                  <w:r>
                    <w:rPr>
                      <w:rFonts w:hint="eastAsia" w:ascii="Times New Roman" w:hAnsi="Times New Roman" w:eastAsia="宋体" w:cs="Times New Roman"/>
                      <w:szCs w:val="21"/>
                    </w:rPr>
                    <w:t>2022</w:t>
                  </w:r>
                  <w:r>
                    <w:rPr>
                      <w:rFonts w:ascii="Times New Roman" w:hAnsi="Times New Roman" w:eastAsia="宋体" w:cs="Times New Roman"/>
                      <w:szCs w:val="21"/>
                    </w:rPr>
                    <w:t>年8月</w:t>
                  </w:r>
                </w:p>
              </w:tc>
              <w:tc>
                <w:tcPr>
                  <w:tcW w:w="469" w:type="pct"/>
                  <w:vMerge w:val="continue"/>
                  <w:vAlign w:val="center"/>
                </w:tcPr>
                <w:p>
                  <w:pPr>
                    <w:jc w:val="center"/>
                    <w:rPr>
                      <w:rFonts w:ascii="Times New Roman" w:hAnsi="Times New Roman" w:eastAsia="宋体" w:cs="Times New Roman"/>
                      <w:szCs w:val="21"/>
                    </w:rPr>
                  </w:pPr>
                </w:p>
              </w:tc>
              <w:tc>
                <w:tcPr>
                  <w:tcW w:w="609" w:type="pct"/>
                  <w:vMerge w:val="continue"/>
                  <w:vAlign w:val="center"/>
                </w:tcPr>
                <w:p>
                  <w:pPr>
                    <w:rPr>
                      <w:rFonts w:ascii="Times New Roman" w:hAnsi="Times New Roman" w:eastAsia="宋体" w:cs="Times New Roman"/>
                      <w:szCs w:val="21"/>
                    </w:rPr>
                  </w:pPr>
                </w:p>
              </w:tc>
              <w:tc>
                <w:tcPr>
                  <w:tcW w:w="504" w:type="pct"/>
                  <w:vMerge w:val="continue"/>
                  <w:vAlign w:val="center"/>
                </w:tcPr>
                <w:p>
                  <w:pPr>
                    <w:rPr>
                      <w:rFonts w:ascii="Times New Roman" w:hAnsi="Times New Roman" w:eastAsia="宋体" w:cs="Times New Roman"/>
                      <w:szCs w:val="21"/>
                    </w:rPr>
                  </w:pPr>
                </w:p>
              </w:tc>
              <w:tc>
                <w:tcPr>
                  <w:tcW w:w="484" w:type="pct"/>
                  <w:vMerge w:val="continue"/>
                  <w:vAlign w:val="center"/>
                </w:tcPr>
                <w:p>
                  <w:pPr>
                    <w:rPr>
                      <w:rFonts w:ascii="Times New Roman" w:hAnsi="Times New Roman" w:eastAsia="宋体" w:cs="Times New Roman"/>
                      <w:szCs w:val="21"/>
                    </w:rPr>
                  </w:pPr>
                </w:p>
              </w:tc>
              <w:tc>
                <w:tcPr>
                  <w:tcW w:w="535" w:type="pct"/>
                  <w:vMerge w:val="continue"/>
                  <w:vAlign w:val="center"/>
                </w:tcPr>
                <w:p>
                  <w:pPr>
                    <w:rPr>
                      <w:rFonts w:ascii="Times New Roman" w:hAnsi="Times New Roman" w:eastAsia="宋体" w:cs="Times New Roman"/>
                      <w:szCs w:val="21"/>
                      <w:shd w:val="clear" w:color="auto" w:fill="FFFFFF"/>
                    </w:rPr>
                  </w:pPr>
                </w:p>
              </w:tc>
              <w:tc>
                <w:tcPr>
                  <w:tcW w:w="721" w:type="pct"/>
                  <w:vMerge w:val="continue"/>
                  <w:vAlign w:val="center"/>
                </w:tcPr>
                <w:p>
                  <w:pPr>
                    <w:rPr>
                      <w:rFonts w:ascii="Times New Roman" w:hAnsi="Times New Roman" w:eastAsia="宋体" w:cs="Times New Roman"/>
                      <w:szCs w:val="21"/>
                    </w:rPr>
                  </w:pPr>
                </w:p>
              </w:tc>
              <w:tc>
                <w:tcPr>
                  <w:tcW w:w="525" w:type="pct"/>
                  <w:vAlign w:val="center"/>
                </w:tcPr>
                <w:p>
                  <w:pPr>
                    <w:rPr>
                      <w:rFonts w:ascii="Times New Roman" w:hAnsi="Times New Roman" w:eastAsia="宋体" w:cs="Times New Roman"/>
                      <w:szCs w:val="21"/>
                    </w:rPr>
                  </w:pPr>
                  <w:r>
                    <w:rPr>
                      <w:rFonts w:ascii="Times New Roman" w:hAnsi="Times New Roman" w:eastAsia="宋体" w:cs="Times New Roman"/>
                      <w:szCs w:val="21"/>
                    </w:rPr>
                    <w:t>II</w:t>
                  </w:r>
                </w:p>
              </w:tc>
              <w:tc>
                <w:tcPr>
                  <w:tcW w:w="546" w:type="pct"/>
                  <w:vAlign w:val="center"/>
                </w:tcPr>
                <w:p>
                  <w:pP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vAlign w:val="center"/>
                </w:tcPr>
                <w:p>
                  <w:pPr>
                    <w:rPr>
                      <w:rFonts w:ascii="Times New Roman" w:hAnsi="Times New Roman" w:eastAsia="宋体" w:cs="Times New Roman"/>
                      <w:szCs w:val="21"/>
                    </w:rPr>
                  </w:pPr>
                  <w:r>
                    <w:rPr>
                      <w:rFonts w:hint="eastAsia" w:ascii="Times New Roman" w:hAnsi="Times New Roman" w:eastAsia="宋体" w:cs="Times New Roman"/>
                      <w:szCs w:val="21"/>
                    </w:rPr>
                    <w:t>2022</w:t>
                  </w:r>
                  <w:r>
                    <w:rPr>
                      <w:rFonts w:ascii="Times New Roman" w:hAnsi="Times New Roman" w:eastAsia="宋体" w:cs="Times New Roman"/>
                      <w:szCs w:val="21"/>
                    </w:rPr>
                    <w:t>年9月</w:t>
                  </w:r>
                </w:p>
              </w:tc>
              <w:tc>
                <w:tcPr>
                  <w:tcW w:w="469" w:type="pct"/>
                  <w:vMerge w:val="continue"/>
                  <w:vAlign w:val="center"/>
                </w:tcPr>
                <w:p>
                  <w:pPr>
                    <w:jc w:val="center"/>
                    <w:rPr>
                      <w:rFonts w:ascii="Times New Roman" w:hAnsi="Times New Roman" w:eastAsia="宋体" w:cs="Times New Roman"/>
                      <w:szCs w:val="21"/>
                    </w:rPr>
                  </w:pPr>
                </w:p>
              </w:tc>
              <w:tc>
                <w:tcPr>
                  <w:tcW w:w="609" w:type="pct"/>
                  <w:vMerge w:val="continue"/>
                  <w:vAlign w:val="center"/>
                </w:tcPr>
                <w:p>
                  <w:pPr>
                    <w:rPr>
                      <w:rFonts w:ascii="Times New Roman" w:hAnsi="Times New Roman" w:eastAsia="宋体" w:cs="Times New Roman"/>
                      <w:szCs w:val="21"/>
                    </w:rPr>
                  </w:pPr>
                </w:p>
              </w:tc>
              <w:tc>
                <w:tcPr>
                  <w:tcW w:w="504" w:type="pct"/>
                  <w:vMerge w:val="continue"/>
                  <w:vAlign w:val="center"/>
                </w:tcPr>
                <w:p>
                  <w:pPr>
                    <w:rPr>
                      <w:rFonts w:ascii="Times New Roman" w:hAnsi="Times New Roman" w:eastAsia="宋体" w:cs="Times New Roman"/>
                      <w:szCs w:val="21"/>
                    </w:rPr>
                  </w:pPr>
                </w:p>
              </w:tc>
              <w:tc>
                <w:tcPr>
                  <w:tcW w:w="484" w:type="pct"/>
                  <w:vMerge w:val="continue"/>
                  <w:vAlign w:val="center"/>
                </w:tcPr>
                <w:p>
                  <w:pPr>
                    <w:rPr>
                      <w:rFonts w:ascii="Times New Roman" w:hAnsi="Times New Roman" w:eastAsia="宋体" w:cs="Times New Roman"/>
                      <w:szCs w:val="21"/>
                    </w:rPr>
                  </w:pPr>
                </w:p>
              </w:tc>
              <w:tc>
                <w:tcPr>
                  <w:tcW w:w="535" w:type="pct"/>
                  <w:vMerge w:val="continue"/>
                  <w:vAlign w:val="center"/>
                </w:tcPr>
                <w:p>
                  <w:pPr>
                    <w:rPr>
                      <w:rFonts w:ascii="Times New Roman" w:hAnsi="Times New Roman" w:eastAsia="宋体" w:cs="Times New Roman"/>
                      <w:szCs w:val="21"/>
                      <w:shd w:val="clear" w:color="auto" w:fill="FFFFFF"/>
                    </w:rPr>
                  </w:pPr>
                </w:p>
              </w:tc>
              <w:tc>
                <w:tcPr>
                  <w:tcW w:w="721" w:type="pct"/>
                  <w:vMerge w:val="continue"/>
                  <w:vAlign w:val="center"/>
                </w:tcPr>
                <w:p>
                  <w:pPr>
                    <w:rPr>
                      <w:rFonts w:ascii="Times New Roman" w:hAnsi="Times New Roman" w:eastAsia="宋体" w:cs="Times New Roman"/>
                      <w:szCs w:val="21"/>
                    </w:rPr>
                  </w:pPr>
                </w:p>
              </w:tc>
              <w:tc>
                <w:tcPr>
                  <w:tcW w:w="525" w:type="pct"/>
                  <w:vAlign w:val="center"/>
                </w:tcPr>
                <w:p>
                  <w:pPr>
                    <w:rPr>
                      <w:rFonts w:ascii="Times New Roman" w:hAnsi="Times New Roman" w:eastAsia="宋体" w:cs="Times New Roman"/>
                      <w:szCs w:val="21"/>
                    </w:rPr>
                  </w:pPr>
                  <w:r>
                    <w:rPr>
                      <w:rFonts w:ascii="Times New Roman" w:hAnsi="Times New Roman" w:eastAsia="宋体" w:cs="Times New Roman"/>
                      <w:szCs w:val="21"/>
                    </w:rPr>
                    <w:t>II</w:t>
                  </w:r>
                </w:p>
              </w:tc>
              <w:tc>
                <w:tcPr>
                  <w:tcW w:w="546" w:type="pct"/>
                  <w:vAlign w:val="center"/>
                </w:tcPr>
                <w:p>
                  <w:pP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vAlign w:val="center"/>
                </w:tcPr>
                <w:p>
                  <w:pPr>
                    <w:rPr>
                      <w:rFonts w:ascii="Times New Roman" w:hAnsi="Times New Roman" w:eastAsia="宋体" w:cs="Times New Roman"/>
                      <w:szCs w:val="21"/>
                    </w:rPr>
                  </w:pPr>
                  <w:r>
                    <w:rPr>
                      <w:rFonts w:hint="eastAsia" w:ascii="Times New Roman" w:hAnsi="Times New Roman" w:eastAsia="宋体" w:cs="Times New Roman"/>
                      <w:szCs w:val="21"/>
                    </w:rPr>
                    <w:t>2022</w:t>
                  </w:r>
                  <w:r>
                    <w:rPr>
                      <w:rFonts w:ascii="Times New Roman" w:hAnsi="Times New Roman" w:eastAsia="宋体" w:cs="Times New Roman"/>
                      <w:szCs w:val="21"/>
                    </w:rPr>
                    <w:t>年10月</w:t>
                  </w:r>
                </w:p>
              </w:tc>
              <w:tc>
                <w:tcPr>
                  <w:tcW w:w="469" w:type="pct"/>
                  <w:vMerge w:val="continue"/>
                  <w:vAlign w:val="center"/>
                </w:tcPr>
                <w:p>
                  <w:pPr>
                    <w:jc w:val="center"/>
                    <w:rPr>
                      <w:rFonts w:ascii="Times New Roman" w:hAnsi="Times New Roman" w:eastAsia="宋体" w:cs="Times New Roman"/>
                      <w:szCs w:val="21"/>
                    </w:rPr>
                  </w:pPr>
                </w:p>
              </w:tc>
              <w:tc>
                <w:tcPr>
                  <w:tcW w:w="609" w:type="pct"/>
                  <w:vMerge w:val="continue"/>
                  <w:vAlign w:val="center"/>
                </w:tcPr>
                <w:p>
                  <w:pPr>
                    <w:rPr>
                      <w:rFonts w:ascii="Times New Roman" w:hAnsi="Times New Roman" w:eastAsia="宋体" w:cs="Times New Roman"/>
                      <w:szCs w:val="21"/>
                    </w:rPr>
                  </w:pPr>
                </w:p>
              </w:tc>
              <w:tc>
                <w:tcPr>
                  <w:tcW w:w="504" w:type="pct"/>
                  <w:vMerge w:val="continue"/>
                  <w:vAlign w:val="center"/>
                </w:tcPr>
                <w:p>
                  <w:pPr>
                    <w:rPr>
                      <w:rFonts w:ascii="Times New Roman" w:hAnsi="Times New Roman" w:eastAsia="宋体" w:cs="Times New Roman"/>
                      <w:szCs w:val="21"/>
                    </w:rPr>
                  </w:pPr>
                </w:p>
              </w:tc>
              <w:tc>
                <w:tcPr>
                  <w:tcW w:w="484" w:type="pct"/>
                  <w:vMerge w:val="continue"/>
                  <w:vAlign w:val="center"/>
                </w:tcPr>
                <w:p>
                  <w:pPr>
                    <w:rPr>
                      <w:rFonts w:ascii="Times New Roman" w:hAnsi="Times New Roman" w:eastAsia="宋体" w:cs="Times New Roman"/>
                      <w:szCs w:val="21"/>
                    </w:rPr>
                  </w:pPr>
                </w:p>
              </w:tc>
              <w:tc>
                <w:tcPr>
                  <w:tcW w:w="535" w:type="pct"/>
                  <w:vMerge w:val="continue"/>
                  <w:vAlign w:val="center"/>
                </w:tcPr>
                <w:p>
                  <w:pPr>
                    <w:rPr>
                      <w:rFonts w:ascii="Times New Roman" w:hAnsi="Times New Roman" w:eastAsia="宋体" w:cs="Times New Roman"/>
                      <w:szCs w:val="21"/>
                      <w:shd w:val="clear" w:color="auto" w:fill="FFFFFF"/>
                    </w:rPr>
                  </w:pPr>
                </w:p>
              </w:tc>
              <w:tc>
                <w:tcPr>
                  <w:tcW w:w="721" w:type="pct"/>
                  <w:vMerge w:val="continue"/>
                  <w:vAlign w:val="center"/>
                </w:tcPr>
                <w:p>
                  <w:pPr>
                    <w:rPr>
                      <w:rFonts w:ascii="Times New Roman" w:hAnsi="Times New Roman" w:eastAsia="宋体" w:cs="Times New Roman"/>
                      <w:szCs w:val="21"/>
                    </w:rPr>
                  </w:pPr>
                </w:p>
              </w:tc>
              <w:tc>
                <w:tcPr>
                  <w:tcW w:w="525" w:type="pct"/>
                  <w:vAlign w:val="center"/>
                </w:tcPr>
                <w:p>
                  <w:pPr>
                    <w:rPr>
                      <w:rFonts w:ascii="Times New Roman" w:hAnsi="Times New Roman" w:eastAsia="宋体" w:cs="Times New Roman"/>
                      <w:szCs w:val="21"/>
                    </w:rPr>
                  </w:pPr>
                  <w:r>
                    <w:rPr>
                      <w:rFonts w:ascii="Times New Roman" w:hAnsi="Times New Roman" w:eastAsia="宋体" w:cs="Times New Roman"/>
                      <w:szCs w:val="21"/>
                    </w:rPr>
                    <w:t>II</w:t>
                  </w:r>
                </w:p>
              </w:tc>
              <w:tc>
                <w:tcPr>
                  <w:tcW w:w="546" w:type="pct"/>
                  <w:vAlign w:val="center"/>
                </w:tcPr>
                <w:p>
                  <w:pP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vAlign w:val="center"/>
                </w:tcPr>
                <w:p>
                  <w:pPr>
                    <w:rPr>
                      <w:rFonts w:ascii="Times New Roman" w:hAnsi="Times New Roman" w:eastAsia="宋体" w:cs="Times New Roman"/>
                      <w:szCs w:val="21"/>
                    </w:rPr>
                  </w:pPr>
                  <w:r>
                    <w:rPr>
                      <w:rFonts w:hint="eastAsia" w:ascii="Times New Roman" w:hAnsi="Times New Roman" w:eastAsia="宋体" w:cs="Times New Roman"/>
                      <w:szCs w:val="21"/>
                    </w:rPr>
                    <w:t>2022</w:t>
                  </w:r>
                  <w:r>
                    <w:rPr>
                      <w:rFonts w:ascii="Times New Roman" w:hAnsi="Times New Roman" w:eastAsia="宋体" w:cs="Times New Roman"/>
                      <w:szCs w:val="21"/>
                    </w:rPr>
                    <w:t>年11月</w:t>
                  </w:r>
                </w:p>
              </w:tc>
              <w:tc>
                <w:tcPr>
                  <w:tcW w:w="469" w:type="pct"/>
                  <w:vMerge w:val="continue"/>
                  <w:vAlign w:val="center"/>
                </w:tcPr>
                <w:p>
                  <w:pPr>
                    <w:jc w:val="center"/>
                    <w:rPr>
                      <w:rFonts w:ascii="Times New Roman" w:hAnsi="Times New Roman" w:eastAsia="宋体" w:cs="Times New Roman"/>
                      <w:szCs w:val="21"/>
                    </w:rPr>
                  </w:pPr>
                </w:p>
              </w:tc>
              <w:tc>
                <w:tcPr>
                  <w:tcW w:w="609" w:type="pct"/>
                  <w:vMerge w:val="continue"/>
                  <w:vAlign w:val="center"/>
                </w:tcPr>
                <w:p>
                  <w:pPr>
                    <w:rPr>
                      <w:rFonts w:ascii="Times New Roman" w:hAnsi="Times New Roman" w:eastAsia="宋体" w:cs="Times New Roman"/>
                      <w:szCs w:val="21"/>
                    </w:rPr>
                  </w:pPr>
                </w:p>
              </w:tc>
              <w:tc>
                <w:tcPr>
                  <w:tcW w:w="504" w:type="pct"/>
                  <w:vMerge w:val="continue"/>
                  <w:vAlign w:val="center"/>
                </w:tcPr>
                <w:p>
                  <w:pPr>
                    <w:rPr>
                      <w:rFonts w:ascii="Times New Roman" w:hAnsi="Times New Roman" w:eastAsia="宋体" w:cs="Times New Roman"/>
                      <w:szCs w:val="21"/>
                    </w:rPr>
                  </w:pPr>
                </w:p>
              </w:tc>
              <w:tc>
                <w:tcPr>
                  <w:tcW w:w="484" w:type="pct"/>
                  <w:vMerge w:val="continue"/>
                  <w:vAlign w:val="center"/>
                </w:tcPr>
                <w:p>
                  <w:pPr>
                    <w:rPr>
                      <w:rFonts w:ascii="Times New Roman" w:hAnsi="Times New Roman" w:eastAsia="宋体" w:cs="Times New Roman"/>
                      <w:szCs w:val="21"/>
                    </w:rPr>
                  </w:pPr>
                </w:p>
              </w:tc>
              <w:tc>
                <w:tcPr>
                  <w:tcW w:w="535" w:type="pct"/>
                  <w:vMerge w:val="continue"/>
                  <w:vAlign w:val="center"/>
                </w:tcPr>
                <w:p>
                  <w:pPr>
                    <w:rPr>
                      <w:rFonts w:ascii="Times New Roman" w:hAnsi="Times New Roman" w:eastAsia="宋体" w:cs="Times New Roman"/>
                      <w:szCs w:val="21"/>
                      <w:shd w:val="clear" w:color="auto" w:fill="FFFFFF"/>
                    </w:rPr>
                  </w:pPr>
                </w:p>
              </w:tc>
              <w:tc>
                <w:tcPr>
                  <w:tcW w:w="721" w:type="pct"/>
                  <w:vMerge w:val="continue"/>
                  <w:vAlign w:val="center"/>
                </w:tcPr>
                <w:p>
                  <w:pPr>
                    <w:rPr>
                      <w:rFonts w:ascii="Times New Roman" w:hAnsi="Times New Roman" w:eastAsia="宋体" w:cs="Times New Roman"/>
                      <w:szCs w:val="21"/>
                    </w:rPr>
                  </w:pPr>
                </w:p>
              </w:tc>
              <w:tc>
                <w:tcPr>
                  <w:tcW w:w="525" w:type="pct"/>
                  <w:vAlign w:val="center"/>
                </w:tcPr>
                <w:p>
                  <w:pPr>
                    <w:rPr>
                      <w:rFonts w:ascii="Times New Roman" w:hAnsi="Times New Roman" w:eastAsia="宋体" w:cs="Times New Roman"/>
                      <w:szCs w:val="21"/>
                    </w:rPr>
                  </w:pPr>
                  <w:r>
                    <w:rPr>
                      <w:rFonts w:ascii="Times New Roman" w:hAnsi="Times New Roman" w:eastAsia="宋体" w:cs="Times New Roman"/>
                      <w:szCs w:val="21"/>
                    </w:rPr>
                    <w:t>II</w:t>
                  </w:r>
                </w:p>
              </w:tc>
              <w:tc>
                <w:tcPr>
                  <w:tcW w:w="546" w:type="pct"/>
                  <w:vAlign w:val="center"/>
                </w:tcPr>
                <w:p>
                  <w:pP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vAlign w:val="center"/>
                </w:tcPr>
                <w:p>
                  <w:pPr>
                    <w:rPr>
                      <w:rFonts w:ascii="Times New Roman" w:hAnsi="Times New Roman" w:eastAsia="宋体" w:cs="Times New Roman"/>
                      <w:szCs w:val="21"/>
                    </w:rPr>
                  </w:pPr>
                  <w:r>
                    <w:rPr>
                      <w:rFonts w:hint="eastAsia" w:ascii="Times New Roman" w:hAnsi="Times New Roman" w:eastAsia="宋体" w:cs="Times New Roman"/>
                      <w:szCs w:val="21"/>
                    </w:rPr>
                    <w:t>2022</w:t>
                  </w:r>
                  <w:r>
                    <w:rPr>
                      <w:rFonts w:ascii="Times New Roman" w:hAnsi="Times New Roman" w:eastAsia="宋体" w:cs="Times New Roman"/>
                      <w:szCs w:val="21"/>
                    </w:rPr>
                    <w:t>年12月</w:t>
                  </w:r>
                </w:p>
              </w:tc>
              <w:tc>
                <w:tcPr>
                  <w:tcW w:w="469" w:type="pct"/>
                  <w:vMerge w:val="continue"/>
                  <w:vAlign w:val="center"/>
                </w:tcPr>
                <w:p>
                  <w:pPr>
                    <w:jc w:val="center"/>
                    <w:rPr>
                      <w:rFonts w:ascii="Times New Roman" w:hAnsi="Times New Roman" w:eastAsia="宋体" w:cs="Times New Roman"/>
                      <w:szCs w:val="21"/>
                    </w:rPr>
                  </w:pPr>
                </w:p>
              </w:tc>
              <w:tc>
                <w:tcPr>
                  <w:tcW w:w="609" w:type="pct"/>
                  <w:vMerge w:val="continue"/>
                  <w:vAlign w:val="center"/>
                </w:tcPr>
                <w:p>
                  <w:pPr>
                    <w:rPr>
                      <w:rFonts w:ascii="Times New Roman" w:hAnsi="Times New Roman" w:eastAsia="宋体" w:cs="Times New Roman"/>
                      <w:szCs w:val="21"/>
                    </w:rPr>
                  </w:pPr>
                </w:p>
              </w:tc>
              <w:tc>
                <w:tcPr>
                  <w:tcW w:w="504" w:type="pct"/>
                  <w:vMerge w:val="continue"/>
                  <w:vAlign w:val="center"/>
                </w:tcPr>
                <w:p>
                  <w:pPr>
                    <w:rPr>
                      <w:rFonts w:ascii="Times New Roman" w:hAnsi="Times New Roman" w:eastAsia="宋体" w:cs="Times New Roman"/>
                      <w:szCs w:val="21"/>
                    </w:rPr>
                  </w:pPr>
                </w:p>
              </w:tc>
              <w:tc>
                <w:tcPr>
                  <w:tcW w:w="484" w:type="pct"/>
                  <w:vMerge w:val="continue"/>
                  <w:vAlign w:val="center"/>
                </w:tcPr>
                <w:p>
                  <w:pPr>
                    <w:rPr>
                      <w:rFonts w:ascii="Times New Roman" w:hAnsi="Times New Roman" w:eastAsia="宋体" w:cs="Times New Roman"/>
                      <w:szCs w:val="21"/>
                    </w:rPr>
                  </w:pPr>
                </w:p>
              </w:tc>
              <w:tc>
                <w:tcPr>
                  <w:tcW w:w="535" w:type="pct"/>
                  <w:vMerge w:val="continue"/>
                  <w:vAlign w:val="center"/>
                </w:tcPr>
                <w:p>
                  <w:pPr>
                    <w:rPr>
                      <w:rFonts w:ascii="Times New Roman" w:hAnsi="Times New Roman" w:eastAsia="宋体" w:cs="Times New Roman"/>
                      <w:szCs w:val="21"/>
                      <w:shd w:val="clear" w:color="auto" w:fill="FFFFFF"/>
                    </w:rPr>
                  </w:pPr>
                </w:p>
              </w:tc>
              <w:tc>
                <w:tcPr>
                  <w:tcW w:w="721" w:type="pct"/>
                  <w:vMerge w:val="continue"/>
                  <w:vAlign w:val="center"/>
                </w:tcPr>
                <w:p>
                  <w:pPr>
                    <w:rPr>
                      <w:rFonts w:ascii="Times New Roman" w:hAnsi="Times New Roman" w:eastAsia="宋体" w:cs="Times New Roman"/>
                      <w:szCs w:val="21"/>
                    </w:rPr>
                  </w:pPr>
                </w:p>
              </w:tc>
              <w:tc>
                <w:tcPr>
                  <w:tcW w:w="525" w:type="pct"/>
                  <w:vAlign w:val="center"/>
                </w:tcPr>
                <w:p>
                  <w:pPr>
                    <w:rPr>
                      <w:rFonts w:ascii="Times New Roman" w:hAnsi="Times New Roman" w:eastAsia="宋体" w:cs="Times New Roman"/>
                      <w:szCs w:val="21"/>
                    </w:rPr>
                  </w:pPr>
                  <w:r>
                    <w:rPr>
                      <w:rFonts w:ascii="Times New Roman" w:hAnsi="Times New Roman" w:eastAsia="宋体" w:cs="Times New Roman"/>
                      <w:szCs w:val="21"/>
                    </w:rPr>
                    <w:t>II</w:t>
                  </w:r>
                </w:p>
              </w:tc>
              <w:tc>
                <w:tcPr>
                  <w:tcW w:w="546" w:type="pct"/>
                  <w:vAlign w:val="center"/>
                </w:tcPr>
                <w:p>
                  <w:pPr>
                    <w:rPr>
                      <w:rFonts w:ascii="Times New Roman" w:hAnsi="Times New Roman" w:eastAsia="宋体" w:cs="Times New Roman"/>
                      <w:szCs w:val="21"/>
                    </w:rPr>
                  </w:pPr>
                  <w:r>
                    <w:rPr>
                      <w:rFonts w:ascii="Times New Roman" w:hAnsi="Times New Roman" w:eastAsia="宋体" w:cs="Times New Roman"/>
                      <w:szCs w:val="21"/>
                    </w:rPr>
                    <w:t>达标</w:t>
                  </w:r>
                </w:p>
              </w:tc>
            </w:tr>
          </w:tbl>
          <w:p>
            <w:pPr>
              <w:wordWrap w:val="0"/>
              <w:adjustRightInd w:val="0"/>
              <w:snapToGrid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由上表可知，本项目所在区域水质均满足《地表水环境质量标准》（</w:t>
            </w:r>
            <w:r>
              <w:rPr>
                <w:rFonts w:ascii="Times New Roman" w:hAnsi="Times New Roman" w:eastAsia="宋体" w:cs="Times New Roman"/>
                <w:kern w:val="0"/>
                <w:sz w:val="24"/>
                <w:szCs w:val="24"/>
              </w:rPr>
              <w:t>GB3838-2002）II 类水质标准。</w:t>
            </w:r>
          </w:p>
          <w:p>
            <w:pPr>
              <w:spacing w:line="360" w:lineRule="auto"/>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w:t>
            </w:r>
            <w:r>
              <w:rPr>
                <w:rFonts w:hint="eastAsia" w:ascii="Times New Roman" w:hAnsi="Times New Roman" w:eastAsia="宋体" w:cs="Times New Roman"/>
                <w:b/>
                <w:bCs/>
                <w:kern w:val="0"/>
                <w:sz w:val="24"/>
                <w:szCs w:val="24"/>
              </w:rPr>
              <w:t>、声环境质量现状</w:t>
            </w:r>
          </w:p>
          <w:p>
            <w:pPr>
              <w:adjustRightInd w:val="0"/>
              <w:snapToGrid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由于厂界外周边</w:t>
            </w:r>
            <w:r>
              <w:rPr>
                <w:rFonts w:ascii="Times New Roman" w:hAnsi="Times New Roman" w:eastAsia="宋体" w:cs="Times New Roman"/>
                <w:kern w:val="0"/>
                <w:sz w:val="24"/>
                <w:szCs w:val="24"/>
              </w:rPr>
              <w:t xml:space="preserve"> 50 米范围内</w:t>
            </w:r>
            <w:r>
              <w:rPr>
                <w:rFonts w:hint="eastAsia" w:ascii="Times New Roman" w:hAnsi="Times New Roman" w:eastAsia="宋体" w:cs="Times New Roman"/>
                <w:kern w:val="0"/>
                <w:sz w:val="24"/>
                <w:szCs w:val="24"/>
              </w:rPr>
              <w:t>不</w:t>
            </w:r>
            <w:r>
              <w:rPr>
                <w:rFonts w:ascii="Times New Roman" w:hAnsi="Times New Roman" w:eastAsia="宋体" w:cs="Times New Roman"/>
                <w:kern w:val="0"/>
                <w:sz w:val="24"/>
                <w:szCs w:val="24"/>
              </w:rPr>
              <w:t>存在声环境保护目标</w:t>
            </w:r>
            <w:r>
              <w:rPr>
                <w:rFonts w:hint="eastAsia" w:ascii="Times New Roman" w:hAnsi="Times New Roman" w:eastAsia="宋体" w:cs="Times New Roman"/>
                <w:kern w:val="0"/>
                <w:sz w:val="24"/>
                <w:szCs w:val="24"/>
              </w:rPr>
              <w:t>，根据《建设项目环境影响报告表编制技术指南（污染影响类）（试行）》可不进行监测。</w:t>
            </w:r>
          </w:p>
          <w:p>
            <w:pPr>
              <w:spacing w:line="360" w:lineRule="auto"/>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4</w:t>
            </w:r>
            <w:r>
              <w:rPr>
                <w:rFonts w:hint="eastAsia" w:ascii="Times New Roman" w:hAnsi="Times New Roman" w:eastAsia="宋体" w:cs="Times New Roman"/>
                <w:b/>
                <w:bCs/>
                <w:kern w:val="0"/>
                <w:sz w:val="24"/>
                <w:szCs w:val="24"/>
              </w:rPr>
              <w:t>、地下水、土壤环境质量现状</w:t>
            </w:r>
          </w:p>
          <w:p>
            <w:pPr>
              <w:adjustRightInd w:val="0"/>
              <w:snapToGrid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根据《建设项目环境影响报告表编制技术指南（污染影响类）（试行）》，地下水、土壤原则上不开展环境质量现状调查。且本项目地面做好硬化防渗措施，本项目不存在土壤、地下水环境污染途径，故本次评价不进行地下水、土壤环境现状调查。</w:t>
            </w:r>
          </w:p>
          <w:p>
            <w:pPr>
              <w:adjustRightInd w:val="0"/>
              <w:snapToGrid w:val="0"/>
              <w:spacing w:line="360" w:lineRule="auto"/>
              <w:rPr>
                <w:rFonts w:ascii="Times New Roman" w:hAnsi="Times New Roman" w:eastAsia="宋体" w:cs="Times New Roman"/>
                <w:b/>
                <w:kern w:val="0"/>
                <w:sz w:val="28"/>
                <w:szCs w:val="28"/>
              </w:rPr>
            </w:pPr>
            <w:r>
              <w:rPr>
                <w:rFonts w:hint="eastAsia" w:ascii="Times New Roman" w:hAnsi="Times New Roman" w:eastAsia="宋体" w:cs="Times New Roman"/>
                <w:b/>
                <w:kern w:val="0"/>
                <w:sz w:val="28"/>
                <w:szCs w:val="28"/>
              </w:rPr>
              <w:t>5</w:t>
            </w:r>
            <w:r>
              <w:rPr>
                <w:rFonts w:hint="eastAsia" w:ascii="Times New Roman" w:hAnsi="Times New Roman" w:eastAsia="宋体" w:cs="Times New Roman"/>
                <w:b/>
                <w:bCs/>
                <w:kern w:val="0"/>
                <w:sz w:val="24"/>
                <w:szCs w:val="24"/>
              </w:rPr>
              <w:t>、生态环境调查</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本项目不在郴州市划定的生态保护红线内。</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1）植物</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附近以疏林地、灌木林地为主，地面植被发育一般，乔木树种以杂木为主，次为马尾松、湿地松、樟树、刺槐及木荷等，主要草本植物为芒草，蕨、芦竹及针茅、蒿类等，可耕面积较少，农作物以水稻为主，次为甘薯、小麦、玉米和马铃薯；经济作物有大豆、甘蔗、花生、茶叶、柑橘、梨子等，也有部分中药材。通过对现场勘查，区域植被覆盖率较高，周边植被以小型灌木、杉树林为主，区域未发现珍稀动植物分布。</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2）动物</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区内野生动物以野兔、竹鼠、白鹭、画眉、山椒鸟、麻雀为主，家畜家禽饲养为猪、牛、犬及鸡、鸭、鹅。</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项目占地范围内及周边没有自然保护区，未发现濒危珍稀物种和名贵野生动植物。</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3）土壤类型</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周边的自然土壤主要为第四纪红黄土黄壤，局部分布有花岗岩红壤。</w:t>
            </w:r>
          </w:p>
          <w:p>
            <w:pPr>
              <w:spacing w:line="360" w:lineRule="auto"/>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6、</w:t>
            </w:r>
            <w:r>
              <w:rPr>
                <w:rFonts w:ascii="Times New Roman" w:hAnsi="Times New Roman" w:eastAsia="宋体" w:cs="Times New Roman"/>
                <w:b/>
                <w:bCs/>
                <w:kern w:val="0"/>
                <w:sz w:val="24"/>
                <w:szCs w:val="24"/>
              </w:rPr>
              <w:t>电磁辐射环境质量现状评价</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本项目不属于新建或改建、扩建广播电台、差转台、电视塔台、卫星地球上行站、雷达等电磁辐射类项目，本次环评不对项目电磁辐射环境质量现状开展监测与评价。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Align w:val="center"/>
          </w:tcPr>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环境</w:t>
            </w:r>
          </w:p>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保护</w:t>
            </w:r>
          </w:p>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目标</w:t>
            </w:r>
          </w:p>
        </w:tc>
        <w:tc>
          <w:tcPr>
            <w:tcW w:w="4481" w:type="pct"/>
          </w:tcPr>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依据现场勘查情况，结合项目排污特点、区域环境情况，本项目主要环境保护目标如下：</w:t>
            </w:r>
          </w:p>
          <w:p>
            <w:pPr>
              <w:spacing w:line="360" w:lineRule="auto"/>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1、大气环境保护目标</w:t>
            </w:r>
          </w:p>
          <w:p>
            <w:pPr>
              <w:spacing w:line="360" w:lineRule="auto"/>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表3</w:t>
            </w:r>
            <w:r>
              <w:rPr>
                <w:rFonts w:ascii="Times New Roman" w:hAnsi="Times New Roman" w:eastAsia="宋体" w:cs="Times New Roman"/>
                <w:b/>
                <w:bCs/>
                <w:kern w:val="0"/>
                <w:sz w:val="24"/>
                <w:szCs w:val="24"/>
              </w:rPr>
              <w:t xml:space="preserve">-2 </w:t>
            </w:r>
            <w:r>
              <w:rPr>
                <w:rFonts w:hint="eastAsia" w:ascii="Times New Roman" w:hAnsi="Times New Roman" w:eastAsia="宋体" w:cs="Times New Roman"/>
                <w:b/>
                <w:bCs/>
                <w:kern w:val="0"/>
                <w:sz w:val="24"/>
                <w:szCs w:val="24"/>
              </w:rPr>
              <w:t>本项目大气环境保护目标</w:t>
            </w:r>
          </w:p>
          <w:tbl>
            <w:tblPr>
              <w:tblStyle w:val="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85" w:type="dxa"/>
                <w:bottom w:w="0" w:type="dxa"/>
                <w:right w:w="85" w:type="dxa"/>
              </w:tblCellMar>
            </w:tblPr>
            <w:tblGrid>
              <w:gridCol w:w="834"/>
              <w:gridCol w:w="1258"/>
              <w:gridCol w:w="1183"/>
              <w:gridCol w:w="1035"/>
              <w:gridCol w:w="1183"/>
              <w:gridCol w:w="888"/>
              <w:gridCol w:w="1071"/>
              <w:gridCol w:w="10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831" w:type="dxa"/>
                  <w:vMerge w:val="restart"/>
                  <w:vAlign w:val="center"/>
                </w:tcPr>
                <w:p>
                  <w:pPr>
                    <w:pStyle w:val="17"/>
                  </w:pPr>
                  <w:r>
                    <w:rPr>
                      <w:rFonts w:hint="eastAsia" w:ascii="宋体" w:hAnsi="宋体"/>
                    </w:rPr>
                    <w:t>名称</w:t>
                  </w:r>
                </w:p>
              </w:tc>
              <w:tc>
                <w:tcPr>
                  <w:tcW w:w="2431" w:type="dxa"/>
                  <w:gridSpan w:val="2"/>
                  <w:vAlign w:val="center"/>
                </w:tcPr>
                <w:p>
                  <w:pPr>
                    <w:pStyle w:val="17"/>
                  </w:pPr>
                  <w:r>
                    <w:rPr>
                      <w:rFonts w:hint="eastAsia" w:ascii="宋体" w:hAnsi="宋体"/>
                    </w:rPr>
                    <w:t>坐标</w:t>
                  </w:r>
                </w:p>
              </w:tc>
              <w:tc>
                <w:tcPr>
                  <w:tcW w:w="1030" w:type="dxa"/>
                  <w:vMerge w:val="restart"/>
                  <w:vAlign w:val="center"/>
                </w:tcPr>
                <w:p>
                  <w:pPr>
                    <w:pStyle w:val="17"/>
                  </w:pPr>
                  <w:r>
                    <w:rPr>
                      <w:rFonts w:hint="eastAsia" w:ascii="宋体" w:hAnsi="宋体"/>
                    </w:rPr>
                    <w:t>保护对象</w:t>
                  </w:r>
                </w:p>
              </w:tc>
              <w:tc>
                <w:tcPr>
                  <w:tcW w:w="1178" w:type="dxa"/>
                  <w:vMerge w:val="restart"/>
                  <w:vAlign w:val="center"/>
                </w:tcPr>
                <w:p>
                  <w:pPr>
                    <w:pStyle w:val="17"/>
                  </w:pPr>
                  <w:r>
                    <w:rPr>
                      <w:rFonts w:hint="eastAsia" w:ascii="宋体" w:hAnsi="宋体"/>
                    </w:rPr>
                    <w:t>保护内容</w:t>
                  </w:r>
                </w:p>
              </w:tc>
              <w:tc>
                <w:tcPr>
                  <w:tcW w:w="884" w:type="dxa"/>
                  <w:vMerge w:val="restart"/>
                  <w:vAlign w:val="center"/>
                </w:tcPr>
                <w:p>
                  <w:pPr>
                    <w:pStyle w:val="17"/>
                  </w:pPr>
                  <w:r>
                    <w:rPr>
                      <w:rFonts w:hint="eastAsia" w:ascii="宋体" w:hAnsi="宋体"/>
                    </w:rPr>
                    <w:t>环境功能区</w:t>
                  </w:r>
                </w:p>
              </w:tc>
              <w:tc>
                <w:tcPr>
                  <w:tcW w:w="1066" w:type="dxa"/>
                  <w:vMerge w:val="restart"/>
                  <w:vAlign w:val="center"/>
                </w:tcPr>
                <w:p>
                  <w:pPr>
                    <w:pStyle w:val="17"/>
                  </w:pPr>
                  <w:r>
                    <w:rPr>
                      <w:rFonts w:hint="eastAsia" w:ascii="宋体" w:hAnsi="宋体"/>
                    </w:rPr>
                    <w:t>相对厂址方位</w:t>
                  </w:r>
                </w:p>
              </w:tc>
              <w:tc>
                <w:tcPr>
                  <w:tcW w:w="937" w:type="dxa"/>
                  <w:vMerge w:val="restart"/>
                  <w:vAlign w:val="center"/>
                </w:tcPr>
                <w:p>
                  <w:pPr>
                    <w:pStyle w:val="17"/>
                  </w:pPr>
                  <w:r>
                    <w:rPr>
                      <w:rFonts w:hint="eastAsia" w:ascii="宋体" w:hAnsi="宋体"/>
                    </w:rPr>
                    <w:t>相对厂址距离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831" w:type="dxa"/>
                  <w:vMerge w:val="continue"/>
                  <w:vAlign w:val="center"/>
                </w:tcPr>
                <w:p>
                  <w:pPr>
                    <w:pStyle w:val="17"/>
                  </w:pPr>
                </w:p>
              </w:tc>
              <w:tc>
                <w:tcPr>
                  <w:tcW w:w="1253" w:type="dxa"/>
                  <w:vAlign w:val="center"/>
                </w:tcPr>
                <w:p>
                  <w:pPr>
                    <w:pStyle w:val="17"/>
                  </w:pPr>
                  <w:r>
                    <w:rPr>
                      <w:rFonts w:ascii="宋体" w:hAnsi="宋体"/>
                    </w:rPr>
                    <w:t>东经</w:t>
                  </w:r>
                </w:p>
              </w:tc>
              <w:tc>
                <w:tcPr>
                  <w:tcW w:w="1178" w:type="dxa"/>
                  <w:vAlign w:val="center"/>
                </w:tcPr>
                <w:p>
                  <w:pPr>
                    <w:pStyle w:val="17"/>
                  </w:pPr>
                  <w:r>
                    <w:rPr>
                      <w:rFonts w:ascii="宋体" w:hAnsi="宋体"/>
                    </w:rPr>
                    <w:t>北纬</w:t>
                  </w:r>
                </w:p>
              </w:tc>
              <w:tc>
                <w:tcPr>
                  <w:tcW w:w="1030" w:type="dxa"/>
                  <w:vMerge w:val="continue"/>
                  <w:vAlign w:val="center"/>
                </w:tcPr>
                <w:p>
                  <w:pPr>
                    <w:pStyle w:val="17"/>
                  </w:pPr>
                </w:p>
              </w:tc>
              <w:tc>
                <w:tcPr>
                  <w:tcW w:w="1178" w:type="dxa"/>
                  <w:vMerge w:val="continue"/>
                  <w:vAlign w:val="center"/>
                </w:tcPr>
                <w:p>
                  <w:pPr>
                    <w:pStyle w:val="17"/>
                  </w:pPr>
                </w:p>
              </w:tc>
              <w:tc>
                <w:tcPr>
                  <w:tcW w:w="884" w:type="dxa"/>
                  <w:vMerge w:val="continue"/>
                  <w:vAlign w:val="center"/>
                </w:tcPr>
                <w:p>
                  <w:pPr>
                    <w:pStyle w:val="17"/>
                  </w:pPr>
                </w:p>
              </w:tc>
              <w:tc>
                <w:tcPr>
                  <w:tcW w:w="1066" w:type="dxa"/>
                  <w:vMerge w:val="continue"/>
                  <w:vAlign w:val="center"/>
                </w:tcPr>
                <w:p>
                  <w:pPr>
                    <w:pStyle w:val="17"/>
                  </w:pPr>
                </w:p>
              </w:tc>
              <w:tc>
                <w:tcPr>
                  <w:tcW w:w="937" w:type="dxa"/>
                  <w:vMerge w:val="continue"/>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831" w:type="dxa"/>
                  <w:vAlign w:val="center"/>
                </w:tcPr>
                <w:p>
                  <w:pPr>
                    <w:pStyle w:val="17"/>
                  </w:pPr>
                  <w:r>
                    <w:rPr>
                      <w:rFonts w:hint="eastAsia"/>
                    </w:rPr>
                    <w:t>燕尾村居民点1</w:t>
                  </w:r>
                  <w:r>
                    <w:t>#</w:t>
                  </w:r>
                </w:p>
              </w:tc>
              <w:tc>
                <w:tcPr>
                  <w:tcW w:w="1253" w:type="dxa"/>
                  <w:vAlign w:val="center"/>
                </w:tcPr>
                <w:p>
                  <w:pPr>
                    <w:pStyle w:val="17"/>
                  </w:pPr>
                  <w:r>
                    <w:t>112.986</w:t>
                  </w:r>
                  <w:r>
                    <w:rPr>
                      <w:rFonts w:hint="eastAsia"/>
                    </w:rPr>
                    <w:t>°</w:t>
                  </w:r>
                </w:p>
              </w:tc>
              <w:tc>
                <w:tcPr>
                  <w:tcW w:w="1178" w:type="dxa"/>
                  <w:vAlign w:val="center"/>
                </w:tcPr>
                <w:p>
                  <w:pPr>
                    <w:pStyle w:val="17"/>
                  </w:pPr>
                  <w:r>
                    <w:t>26.065</w:t>
                  </w:r>
                  <w:r>
                    <w:rPr>
                      <w:rFonts w:hint="eastAsia"/>
                    </w:rPr>
                    <w:t>°</w:t>
                  </w:r>
                </w:p>
              </w:tc>
              <w:tc>
                <w:tcPr>
                  <w:tcW w:w="1030" w:type="dxa"/>
                  <w:vAlign w:val="center"/>
                </w:tcPr>
                <w:p>
                  <w:pPr>
                    <w:pStyle w:val="17"/>
                  </w:pPr>
                  <w:r>
                    <w:rPr>
                      <w:rFonts w:hint="eastAsia" w:ascii="宋体" w:hAnsi="宋体"/>
                    </w:rPr>
                    <w:t>居民</w:t>
                  </w:r>
                </w:p>
              </w:tc>
              <w:tc>
                <w:tcPr>
                  <w:tcW w:w="1178" w:type="dxa"/>
                  <w:vAlign w:val="center"/>
                </w:tcPr>
                <w:p>
                  <w:pPr>
                    <w:pStyle w:val="17"/>
                  </w:pPr>
                  <w:r>
                    <w:rPr>
                      <w:rFonts w:hint="eastAsia" w:ascii="宋体" w:hAnsi="宋体"/>
                    </w:rPr>
                    <w:t>约</w:t>
                  </w:r>
                  <w:r>
                    <w:t>8</w:t>
                  </w:r>
                  <w:r>
                    <w:rPr>
                      <w:rFonts w:hint="eastAsia"/>
                    </w:rPr>
                    <w:t>0</w:t>
                  </w:r>
                  <w:r>
                    <w:rPr>
                      <w:rFonts w:hint="eastAsia" w:ascii="宋体" w:hAnsi="宋体"/>
                    </w:rPr>
                    <w:t>户，</w:t>
                  </w:r>
                  <w:r>
                    <w:t>30</w:t>
                  </w:r>
                  <w:r>
                    <w:rPr>
                      <w:rFonts w:hint="eastAsia"/>
                    </w:rPr>
                    <w:t>0</w:t>
                  </w:r>
                  <w:r>
                    <w:rPr>
                      <w:rFonts w:hint="eastAsia" w:ascii="宋体" w:hAnsi="宋体"/>
                    </w:rPr>
                    <w:t>人</w:t>
                  </w:r>
                </w:p>
              </w:tc>
              <w:tc>
                <w:tcPr>
                  <w:tcW w:w="884" w:type="dxa"/>
                  <w:vAlign w:val="center"/>
                </w:tcPr>
                <w:p>
                  <w:pPr>
                    <w:pStyle w:val="17"/>
                  </w:pPr>
                  <w:r>
                    <w:rPr>
                      <w:rFonts w:hint="eastAsia" w:ascii="宋体" w:hAnsi="宋体"/>
                    </w:rPr>
                    <w:t>二类</w:t>
                  </w:r>
                </w:p>
              </w:tc>
              <w:tc>
                <w:tcPr>
                  <w:tcW w:w="1066" w:type="dxa"/>
                  <w:vAlign w:val="center"/>
                </w:tcPr>
                <w:p>
                  <w:pPr>
                    <w:pStyle w:val="17"/>
                  </w:pPr>
                  <w:r>
                    <w:rPr>
                      <w:rFonts w:hint="eastAsia" w:ascii="宋体" w:hAnsi="宋体"/>
                    </w:rPr>
                    <w:t>北</w:t>
                  </w:r>
                </w:p>
              </w:tc>
              <w:tc>
                <w:tcPr>
                  <w:tcW w:w="937" w:type="dxa"/>
                  <w:vAlign w:val="center"/>
                </w:tcPr>
                <w:p>
                  <w:pPr>
                    <w:pStyle w:val="17"/>
                  </w:pPr>
                  <w:r>
                    <w:t>388</w:t>
                  </w:r>
                  <w:r>
                    <w:rPr>
                      <w:rFonts w:hint="eastAsia"/>
                    </w:rPr>
                    <w:t>-500m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831" w:type="dxa"/>
                  <w:vAlign w:val="center"/>
                </w:tcPr>
                <w:p>
                  <w:pPr>
                    <w:pStyle w:val="17"/>
                  </w:pPr>
                  <w:r>
                    <w:rPr>
                      <w:rFonts w:hint="eastAsia"/>
                    </w:rPr>
                    <w:t>燕尾村居民点</w:t>
                  </w:r>
                  <w:r>
                    <w:t>2#</w:t>
                  </w:r>
                </w:p>
              </w:tc>
              <w:tc>
                <w:tcPr>
                  <w:tcW w:w="1253" w:type="dxa"/>
                  <w:vAlign w:val="center"/>
                </w:tcPr>
                <w:p>
                  <w:pPr>
                    <w:pStyle w:val="17"/>
                  </w:pPr>
                  <w:r>
                    <w:t>112.981</w:t>
                  </w:r>
                  <w:r>
                    <w:rPr>
                      <w:rFonts w:hint="eastAsia"/>
                    </w:rPr>
                    <w:t>°</w:t>
                  </w:r>
                </w:p>
              </w:tc>
              <w:tc>
                <w:tcPr>
                  <w:tcW w:w="1178" w:type="dxa"/>
                  <w:vAlign w:val="center"/>
                </w:tcPr>
                <w:p>
                  <w:pPr>
                    <w:pStyle w:val="17"/>
                  </w:pPr>
                  <w:r>
                    <w:t>26.063</w:t>
                  </w:r>
                  <w:r>
                    <w:rPr>
                      <w:rFonts w:hint="eastAsia"/>
                    </w:rPr>
                    <w:t>°</w:t>
                  </w:r>
                </w:p>
              </w:tc>
              <w:tc>
                <w:tcPr>
                  <w:tcW w:w="1030" w:type="dxa"/>
                  <w:vAlign w:val="center"/>
                </w:tcPr>
                <w:p>
                  <w:pPr>
                    <w:pStyle w:val="17"/>
                  </w:pPr>
                  <w:r>
                    <w:rPr>
                      <w:rFonts w:hint="eastAsia" w:ascii="宋体" w:hAnsi="宋体"/>
                    </w:rPr>
                    <w:t>居民</w:t>
                  </w:r>
                </w:p>
              </w:tc>
              <w:tc>
                <w:tcPr>
                  <w:tcW w:w="1178" w:type="dxa"/>
                  <w:vAlign w:val="center"/>
                </w:tcPr>
                <w:p>
                  <w:pPr>
                    <w:pStyle w:val="17"/>
                  </w:pPr>
                  <w:r>
                    <w:rPr>
                      <w:rFonts w:hint="eastAsia" w:ascii="宋体" w:hAnsi="宋体"/>
                    </w:rPr>
                    <w:t>约</w:t>
                  </w:r>
                  <w:r>
                    <w:t>20</w:t>
                  </w:r>
                  <w:r>
                    <w:rPr>
                      <w:rFonts w:hint="eastAsia" w:ascii="宋体" w:hAnsi="宋体"/>
                    </w:rPr>
                    <w:t>户，</w:t>
                  </w:r>
                  <w:r>
                    <w:t>100</w:t>
                  </w:r>
                  <w:r>
                    <w:rPr>
                      <w:rFonts w:hint="eastAsia" w:ascii="宋体" w:hAnsi="宋体"/>
                    </w:rPr>
                    <w:t>人</w:t>
                  </w:r>
                </w:p>
              </w:tc>
              <w:tc>
                <w:tcPr>
                  <w:tcW w:w="884" w:type="dxa"/>
                  <w:vAlign w:val="center"/>
                </w:tcPr>
                <w:p>
                  <w:pPr>
                    <w:pStyle w:val="17"/>
                  </w:pPr>
                  <w:r>
                    <w:rPr>
                      <w:rFonts w:hint="eastAsia" w:ascii="宋体" w:hAnsi="宋体"/>
                    </w:rPr>
                    <w:t>二类</w:t>
                  </w:r>
                </w:p>
              </w:tc>
              <w:tc>
                <w:tcPr>
                  <w:tcW w:w="1066" w:type="dxa"/>
                  <w:vAlign w:val="center"/>
                </w:tcPr>
                <w:p>
                  <w:pPr>
                    <w:pStyle w:val="17"/>
                  </w:pPr>
                  <w:r>
                    <w:rPr>
                      <w:rFonts w:hint="eastAsia" w:ascii="宋体" w:hAnsi="宋体"/>
                    </w:rPr>
                    <w:t>西北</w:t>
                  </w:r>
                </w:p>
              </w:tc>
              <w:tc>
                <w:tcPr>
                  <w:tcW w:w="937" w:type="dxa"/>
                  <w:vAlign w:val="center"/>
                </w:tcPr>
                <w:p>
                  <w:pPr>
                    <w:pStyle w:val="17"/>
                  </w:pPr>
                  <w:r>
                    <w:t>248</w:t>
                  </w:r>
                  <w:r>
                    <w:rPr>
                      <w:rFonts w:hint="eastAsia"/>
                    </w:rPr>
                    <w:t>-</w:t>
                  </w:r>
                  <w:r>
                    <w:t>318</w:t>
                  </w:r>
                  <w:r>
                    <w:rPr>
                      <w:rFonts w:hint="eastAsia"/>
                    </w:rPr>
                    <w:t>m</w:t>
                  </w:r>
                </w:p>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831" w:type="dxa"/>
                  <w:vAlign w:val="center"/>
                </w:tcPr>
                <w:p>
                  <w:pPr>
                    <w:pStyle w:val="17"/>
                  </w:pPr>
                  <w:r>
                    <w:rPr>
                      <w:rFonts w:hint="eastAsia"/>
                    </w:rPr>
                    <w:t>雷塘</w:t>
                  </w:r>
                </w:p>
              </w:tc>
              <w:tc>
                <w:tcPr>
                  <w:tcW w:w="1253" w:type="dxa"/>
                  <w:vAlign w:val="center"/>
                </w:tcPr>
                <w:p>
                  <w:pPr>
                    <w:pStyle w:val="17"/>
                  </w:pPr>
                  <w:r>
                    <w:t>112.985</w:t>
                  </w:r>
                  <w:r>
                    <w:rPr>
                      <w:rFonts w:hint="eastAsia"/>
                    </w:rPr>
                    <w:t>°</w:t>
                  </w:r>
                </w:p>
              </w:tc>
              <w:tc>
                <w:tcPr>
                  <w:tcW w:w="1178" w:type="dxa"/>
                  <w:vAlign w:val="center"/>
                </w:tcPr>
                <w:p>
                  <w:pPr>
                    <w:pStyle w:val="17"/>
                  </w:pPr>
                  <w:r>
                    <w:t>26.057</w:t>
                  </w:r>
                  <w:r>
                    <w:rPr>
                      <w:rFonts w:hint="eastAsia"/>
                    </w:rPr>
                    <w:t>°</w:t>
                  </w:r>
                </w:p>
              </w:tc>
              <w:tc>
                <w:tcPr>
                  <w:tcW w:w="1030" w:type="dxa"/>
                  <w:vAlign w:val="center"/>
                </w:tcPr>
                <w:p>
                  <w:pPr>
                    <w:pStyle w:val="17"/>
                  </w:pPr>
                  <w:r>
                    <w:rPr>
                      <w:rFonts w:hint="eastAsia" w:ascii="宋体" w:hAnsi="宋体"/>
                    </w:rPr>
                    <w:t>居民</w:t>
                  </w:r>
                </w:p>
              </w:tc>
              <w:tc>
                <w:tcPr>
                  <w:tcW w:w="1178" w:type="dxa"/>
                  <w:vAlign w:val="center"/>
                </w:tcPr>
                <w:p>
                  <w:pPr>
                    <w:pStyle w:val="17"/>
                  </w:pPr>
                  <w:r>
                    <w:rPr>
                      <w:rFonts w:hint="eastAsia" w:ascii="宋体" w:hAnsi="宋体"/>
                    </w:rPr>
                    <w:t>约</w:t>
                  </w:r>
                  <w:r>
                    <w:t>30</w:t>
                  </w:r>
                  <w:r>
                    <w:rPr>
                      <w:rFonts w:hint="eastAsia" w:ascii="宋体" w:hAnsi="宋体"/>
                    </w:rPr>
                    <w:t>户，</w:t>
                  </w:r>
                  <w:r>
                    <w:t>120</w:t>
                  </w:r>
                  <w:r>
                    <w:rPr>
                      <w:rFonts w:hint="eastAsia" w:ascii="宋体" w:hAnsi="宋体"/>
                    </w:rPr>
                    <w:t>人</w:t>
                  </w:r>
                </w:p>
              </w:tc>
              <w:tc>
                <w:tcPr>
                  <w:tcW w:w="884" w:type="dxa"/>
                  <w:vAlign w:val="center"/>
                </w:tcPr>
                <w:p>
                  <w:pPr>
                    <w:pStyle w:val="17"/>
                  </w:pPr>
                  <w:r>
                    <w:rPr>
                      <w:rFonts w:hint="eastAsia" w:ascii="宋体" w:hAnsi="宋体"/>
                    </w:rPr>
                    <w:t>二类</w:t>
                  </w:r>
                </w:p>
              </w:tc>
              <w:tc>
                <w:tcPr>
                  <w:tcW w:w="1066" w:type="dxa"/>
                  <w:vAlign w:val="center"/>
                </w:tcPr>
                <w:p>
                  <w:pPr>
                    <w:pStyle w:val="17"/>
                  </w:pPr>
                  <w:r>
                    <w:rPr>
                      <w:rFonts w:hint="eastAsia" w:ascii="宋体" w:hAnsi="宋体"/>
                    </w:rPr>
                    <w:t>东南</w:t>
                  </w:r>
                </w:p>
              </w:tc>
              <w:tc>
                <w:tcPr>
                  <w:tcW w:w="937" w:type="dxa"/>
                  <w:vAlign w:val="center"/>
                </w:tcPr>
                <w:p>
                  <w:pPr>
                    <w:pStyle w:val="17"/>
                  </w:pPr>
                  <w:r>
                    <w:t>413</w:t>
                  </w:r>
                  <w:r>
                    <w:rPr>
                      <w:rFonts w:hint="eastAsia"/>
                    </w:rPr>
                    <w:t>-500m</w:t>
                  </w:r>
                </w:p>
                <w:p>
                  <w:pPr>
                    <w:pStyle w:val="17"/>
                  </w:pPr>
                </w:p>
              </w:tc>
            </w:tr>
          </w:tbl>
          <w:p>
            <w:pPr>
              <w:spacing w:line="360" w:lineRule="auto"/>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2、</w:t>
            </w:r>
            <w:r>
              <w:rPr>
                <w:rFonts w:ascii="Times New Roman" w:hAnsi="Times New Roman" w:eastAsia="宋体" w:cs="Times New Roman"/>
                <w:b/>
                <w:bCs/>
                <w:kern w:val="0"/>
                <w:sz w:val="24"/>
                <w:szCs w:val="24"/>
              </w:rPr>
              <w:t>声环境保护目标</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w:t>
            </w:r>
            <w:r>
              <w:rPr>
                <w:rFonts w:ascii="Times New Roman" w:hAnsi="Times New Roman" w:eastAsia="宋体" w:cs="Times New Roman"/>
                <w:kern w:val="0"/>
                <w:sz w:val="24"/>
                <w:szCs w:val="24"/>
              </w:rPr>
              <w:t>50米范围内无声环境保护目标</w:t>
            </w:r>
            <w:r>
              <w:rPr>
                <w:rFonts w:hint="eastAsia" w:ascii="Times New Roman" w:hAnsi="Times New Roman" w:eastAsia="宋体" w:cs="Times New Roman"/>
                <w:kern w:val="0"/>
                <w:sz w:val="24"/>
                <w:szCs w:val="24"/>
              </w:rPr>
              <w:t>（</w:t>
            </w:r>
            <w:r>
              <w:rPr>
                <w:rFonts w:hint="eastAsia" w:ascii="Times New Roman" w:hAnsi="Times New Roman" w:eastAsia="宋体" w:cs="Times New Roman"/>
                <w:kern w:val="0"/>
                <w:sz w:val="24"/>
                <w:szCs w:val="24"/>
                <w:u w:val="single"/>
              </w:rPr>
              <w:t>谷歌卫星地图四周</w:t>
            </w:r>
            <w:r>
              <w:rPr>
                <w:rFonts w:ascii="Times New Roman" w:hAnsi="Times New Roman" w:eastAsia="宋体" w:cs="Times New Roman"/>
                <w:kern w:val="0"/>
                <w:sz w:val="24"/>
                <w:szCs w:val="24"/>
                <w:u w:val="single"/>
              </w:rPr>
              <w:t>50</w:t>
            </w:r>
            <w:r>
              <w:rPr>
                <w:rFonts w:hint="eastAsia" w:ascii="Times New Roman" w:hAnsi="Times New Roman" w:eastAsia="宋体" w:cs="Times New Roman"/>
                <w:kern w:val="0"/>
                <w:sz w:val="24"/>
                <w:szCs w:val="24"/>
                <w:u w:val="single"/>
              </w:rPr>
              <w:t>m范围内显示有部分厂房，根据现场核实无居民居住，为原有遗留煤堆场厂房，现无人使用和管理</w:t>
            </w:r>
            <w:r>
              <w:rPr>
                <w:rFonts w:hint="eastAsia" w:ascii="Times New Roman" w:hAnsi="Times New Roman" w:eastAsia="宋体" w:cs="Times New Roman"/>
                <w:kern w:val="0"/>
                <w:sz w:val="24"/>
                <w:szCs w:val="24"/>
              </w:rPr>
              <w:t>）。</w:t>
            </w:r>
          </w:p>
          <w:p>
            <w:pPr>
              <w:spacing w:line="360" w:lineRule="auto"/>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3、地表水环境保护目标</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根据现场踏勘表明，项目周边内无《环境影响评价技术导则</w:t>
            </w:r>
            <w:r>
              <w:rPr>
                <w:rFonts w:ascii="Times New Roman" w:hAnsi="Times New Roman" w:eastAsia="宋体" w:cs="Times New Roman"/>
                <w:kern w:val="0"/>
                <w:sz w:val="24"/>
                <w:szCs w:val="24"/>
              </w:rPr>
              <w:t xml:space="preserve">  地表水环境》（HJ2.3-2018）中规定的饮用水水源保护区、饮用水取水口，涉水的自然保护区、风景名胜区，重点保护与珍稀水生生物的栖息地、重要水生生物的自然产卵场及索饵场、越冬场和洄游通道，天然渔场以及水产种质资源保护区等地表保护目标。项目周边地表水环境保护目标详见下表。</w:t>
            </w:r>
          </w:p>
          <w:p>
            <w:pPr>
              <w:spacing w:line="360" w:lineRule="auto"/>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表3-</w:t>
            </w:r>
            <w:r>
              <w:rPr>
                <w:rFonts w:ascii="Times New Roman" w:hAnsi="Times New Roman" w:eastAsia="宋体" w:cs="Times New Roman"/>
                <w:b/>
                <w:bCs/>
                <w:kern w:val="0"/>
                <w:sz w:val="24"/>
                <w:szCs w:val="24"/>
              </w:rPr>
              <w:t>3</w:t>
            </w:r>
            <w:r>
              <w:rPr>
                <w:rFonts w:hint="eastAsia" w:ascii="Times New Roman" w:hAnsi="Times New Roman" w:eastAsia="宋体" w:cs="Times New Roman"/>
                <w:b/>
                <w:bCs/>
                <w:kern w:val="0"/>
                <w:sz w:val="24"/>
                <w:szCs w:val="24"/>
              </w:rPr>
              <w:t xml:space="preserve">  地表水环境保护目标</w:t>
            </w:r>
          </w:p>
          <w:tbl>
            <w:tblPr>
              <w:tblStyle w:val="7"/>
              <w:tblW w:w="84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23"/>
              <w:gridCol w:w="1295"/>
              <w:gridCol w:w="1593"/>
              <w:gridCol w:w="2218"/>
              <w:gridCol w:w="26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4" w:hRule="atLeast"/>
                <w:jc w:val="center"/>
              </w:trPr>
              <w:tc>
                <w:tcPr>
                  <w:tcW w:w="723" w:type="dxa"/>
                  <w:vAlign w:val="center"/>
                </w:tcPr>
                <w:p>
                  <w:pPr>
                    <w:pStyle w:val="18"/>
                  </w:pPr>
                  <w:r>
                    <w:rPr>
                      <w:rFonts w:hint="eastAsia" w:ascii="宋体" w:hAnsi="宋体"/>
                    </w:rPr>
                    <w:t>环境</w:t>
                  </w:r>
                </w:p>
                <w:p>
                  <w:pPr>
                    <w:pStyle w:val="18"/>
                  </w:pPr>
                  <w:r>
                    <w:rPr>
                      <w:rFonts w:hint="eastAsia" w:ascii="宋体" w:hAnsi="宋体"/>
                    </w:rPr>
                    <w:t>要素</w:t>
                  </w:r>
                </w:p>
              </w:tc>
              <w:tc>
                <w:tcPr>
                  <w:tcW w:w="1295" w:type="dxa"/>
                  <w:vAlign w:val="center"/>
                </w:tcPr>
                <w:p>
                  <w:pPr>
                    <w:pStyle w:val="18"/>
                  </w:pPr>
                  <w:r>
                    <w:rPr>
                      <w:rFonts w:hint="eastAsia" w:ascii="宋体" w:hAnsi="宋体"/>
                    </w:rPr>
                    <w:t>保护目标</w:t>
                  </w:r>
                </w:p>
              </w:tc>
              <w:tc>
                <w:tcPr>
                  <w:tcW w:w="1593" w:type="dxa"/>
                  <w:vAlign w:val="center"/>
                </w:tcPr>
                <w:p>
                  <w:pPr>
                    <w:pStyle w:val="18"/>
                  </w:pPr>
                  <w:r>
                    <w:rPr>
                      <w:rFonts w:hint="eastAsia" w:ascii="宋体" w:hAnsi="宋体"/>
                    </w:rPr>
                    <w:t>方位及距离</w:t>
                  </w:r>
                </w:p>
              </w:tc>
              <w:tc>
                <w:tcPr>
                  <w:tcW w:w="2218" w:type="dxa"/>
                  <w:vAlign w:val="center"/>
                </w:tcPr>
                <w:p>
                  <w:pPr>
                    <w:pStyle w:val="18"/>
                  </w:pPr>
                  <w:r>
                    <w:rPr>
                      <w:rFonts w:hint="eastAsia" w:ascii="宋体" w:hAnsi="宋体"/>
                    </w:rPr>
                    <w:t>功能及规模</w:t>
                  </w:r>
                </w:p>
              </w:tc>
              <w:tc>
                <w:tcPr>
                  <w:tcW w:w="2667" w:type="dxa"/>
                  <w:vAlign w:val="center"/>
                </w:tcPr>
                <w:p>
                  <w:pPr>
                    <w:pStyle w:val="18"/>
                  </w:pPr>
                  <w:r>
                    <w:rPr>
                      <w:rFonts w:hint="eastAsia" w:ascii="宋体" w:hAnsi="宋体"/>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23" w:type="dxa"/>
                  <w:vMerge w:val="restart"/>
                  <w:vAlign w:val="center"/>
                </w:tcPr>
                <w:p>
                  <w:pPr>
                    <w:pStyle w:val="18"/>
                  </w:pPr>
                  <w:r>
                    <w:rPr>
                      <w:rFonts w:hint="eastAsia" w:ascii="宋体" w:hAnsi="宋体"/>
                    </w:rPr>
                    <w:t>水环境</w:t>
                  </w:r>
                </w:p>
              </w:tc>
              <w:tc>
                <w:tcPr>
                  <w:tcW w:w="1295" w:type="dxa"/>
                  <w:vAlign w:val="center"/>
                </w:tcPr>
                <w:p>
                  <w:pPr>
                    <w:pStyle w:val="18"/>
                  </w:pPr>
                  <w:r>
                    <w:rPr>
                      <w:rFonts w:hint="eastAsia" w:ascii="宋体" w:hAnsi="宋体"/>
                    </w:rPr>
                    <w:t>桥头河</w:t>
                  </w:r>
                </w:p>
              </w:tc>
              <w:tc>
                <w:tcPr>
                  <w:tcW w:w="1593" w:type="dxa"/>
                  <w:vAlign w:val="center"/>
                </w:tcPr>
                <w:p>
                  <w:pPr>
                    <w:pStyle w:val="18"/>
                  </w:pPr>
                  <w:r>
                    <w:rPr>
                      <w:rFonts w:hint="eastAsia" w:ascii="宋体" w:hAnsi="宋体"/>
                    </w:rPr>
                    <w:t>北侧，</w:t>
                  </w:r>
                  <w:r>
                    <w:t>937</w:t>
                  </w:r>
                  <w:r>
                    <w:rPr>
                      <w:rFonts w:hint="eastAsia"/>
                    </w:rPr>
                    <w:t>m</w:t>
                  </w:r>
                </w:p>
              </w:tc>
              <w:tc>
                <w:tcPr>
                  <w:tcW w:w="2218" w:type="dxa"/>
                  <w:vAlign w:val="center"/>
                </w:tcPr>
                <w:p>
                  <w:pPr>
                    <w:pStyle w:val="18"/>
                  </w:pPr>
                  <w:r>
                    <w:rPr>
                      <w:rFonts w:hint="eastAsia" w:ascii="宋体" w:hAnsi="宋体"/>
                    </w:rPr>
                    <w:t>灌溉</w:t>
                  </w:r>
                </w:p>
              </w:tc>
              <w:tc>
                <w:tcPr>
                  <w:tcW w:w="2667" w:type="dxa"/>
                  <w:vMerge w:val="restart"/>
                  <w:vAlign w:val="center"/>
                </w:tcPr>
                <w:p>
                  <w:pPr>
                    <w:pStyle w:val="18"/>
                  </w:pPr>
                  <w:r>
                    <w:rPr>
                      <w:rFonts w:hint="eastAsia" w:ascii="宋体" w:hAnsi="宋体"/>
                    </w:rPr>
                    <w:t>《地表水环境质量标准》（</w:t>
                  </w:r>
                  <w:r>
                    <w:rPr>
                      <w:rFonts w:hint="eastAsia"/>
                    </w:rPr>
                    <w:t>GB3838-2002</w:t>
                  </w:r>
                  <w:r>
                    <w:rPr>
                      <w:rFonts w:hint="eastAsia" w:ascii="宋体" w:hAnsi="宋体"/>
                    </w:rPr>
                    <w:t>）中Ⅲ类标准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23" w:type="dxa"/>
                  <w:vMerge w:val="continue"/>
                  <w:vAlign w:val="center"/>
                </w:tcPr>
                <w:p>
                  <w:pPr>
                    <w:pStyle w:val="18"/>
                    <w:rPr>
                      <w:rFonts w:ascii="宋体" w:hAnsi="宋体"/>
                    </w:rPr>
                  </w:pPr>
                </w:p>
              </w:tc>
              <w:tc>
                <w:tcPr>
                  <w:tcW w:w="1295" w:type="dxa"/>
                  <w:vAlign w:val="center"/>
                </w:tcPr>
                <w:p>
                  <w:pPr>
                    <w:pStyle w:val="18"/>
                    <w:rPr>
                      <w:rFonts w:ascii="宋体" w:hAnsi="宋体"/>
                    </w:rPr>
                  </w:pPr>
                  <w:r>
                    <w:rPr>
                      <w:rFonts w:hint="eastAsia" w:ascii="宋体" w:hAnsi="宋体"/>
                    </w:rPr>
                    <w:t>西河</w:t>
                  </w:r>
                </w:p>
              </w:tc>
              <w:tc>
                <w:tcPr>
                  <w:tcW w:w="1593" w:type="dxa"/>
                  <w:vAlign w:val="center"/>
                </w:tcPr>
                <w:p>
                  <w:pPr>
                    <w:pStyle w:val="19"/>
                    <w:jc w:val="center"/>
                    <w:rPr>
                      <w:rFonts w:ascii="Times New Roman" w:hAnsi="Times New Roman" w:eastAsia="宋体"/>
                    </w:rPr>
                  </w:pPr>
                  <w:r>
                    <w:rPr>
                      <w:rFonts w:hint="eastAsia" w:ascii="Times New Roman" w:hAnsi="Times New Roman" w:eastAsia="宋体"/>
                    </w:rPr>
                    <w:t>东北侧，3</w:t>
                  </w:r>
                  <w:r>
                    <w:rPr>
                      <w:rFonts w:ascii="Times New Roman" w:hAnsi="Times New Roman" w:eastAsia="宋体"/>
                    </w:rPr>
                    <w:t>.9km</w:t>
                  </w:r>
                </w:p>
              </w:tc>
              <w:tc>
                <w:tcPr>
                  <w:tcW w:w="2218" w:type="dxa"/>
                  <w:vAlign w:val="center"/>
                </w:tcPr>
                <w:p>
                  <w:pPr>
                    <w:pStyle w:val="18"/>
                    <w:rPr>
                      <w:rFonts w:ascii="宋体" w:hAnsi="宋体"/>
                    </w:rPr>
                  </w:pPr>
                  <w:r>
                    <w:rPr>
                      <w:rFonts w:hint="eastAsia" w:ascii="宋体" w:hAnsi="宋体"/>
                    </w:rPr>
                    <w:t>灌溉、渔业</w:t>
                  </w:r>
                </w:p>
              </w:tc>
              <w:tc>
                <w:tcPr>
                  <w:tcW w:w="2667" w:type="dxa"/>
                  <w:vMerge w:val="continue"/>
                  <w:vAlign w:val="center"/>
                </w:tcPr>
                <w:p>
                  <w:pPr>
                    <w:pStyle w:val="18"/>
                    <w:rPr>
                      <w:rFonts w:ascii="宋体" w:hAnsi="宋体"/>
                    </w:rPr>
                  </w:pPr>
                </w:p>
              </w:tc>
            </w:tr>
          </w:tbl>
          <w:p>
            <w:pPr>
              <w:spacing w:line="360" w:lineRule="auto"/>
              <w:ind w:firstLine="480" w:firstLineChars="200"/>
              <w:rPr>
                <w:rFonts w:hint="eastAsia"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雨水经沉淀后大部分回用于生产，小部分随周边灌溉渠进入桥头河，最终汇入西河。</w:t>
            </w:r>
          </w:p>
          <w:p>
            <w:pPr>
              <w:spacing w:line="360" w:lineRule="auto"/>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4、地下水环境保护目标</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本项目厂界外</w:t>
            </w:r>
            <w:r>
              <w:rPr>
                <w:rFonts w:ascii="Times New Roman" w:hAnsi="Times New Roman" w:eastAsia="宋体" w:cs="Times New Roman"/>
                <w:kern w:val="0"/>
                <w:sz w:val="24"/>
                <w:szCs w:val="24"/>
              </w:rPr>
              <w:t>500米范围内无地下水集中式饮用水水源和热水、矿泉水、温泉等特殊地下水资源。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Align w:val="center"/>
          </w:tcPr>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污染物排放控制标准</w:t>
            </w:r>
          </w:p>
        </w:tc>
        <w:tc>
          <w:tcPr>
            <w:tcW w:w="4481" w:type="pct"/>
          </w:tcPr>
          <w:p>
            <w:pPr>
              <w:spacing w:line="360" w:lineRule="auto"/>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1、废气排放标准</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施工期：废气执行《大气污染物综合排放标准》（G</w:t>
            </w:r>
            <w:r>
              <w:rPr>
                <w:rFonts w:ascii="Times New Roman" w:hAnsi="Times New Roman" w:eastAsia="宋体" w:cs="Times New Roman"/>
                <w:kern w:val="0"/>
                <w:sz w:val="24"/>
                <w:szCs w:val="24"/>
              </w:rPr>
              <w:t>B16297-1996</w:t>
            </w:r>
            <w:r>
              <w:rPr>
                <w:rFonts w:hint="eastAsia" w:ascii="Times New Roman" w:hAnsi="Times New Roman" w:eastAsia="宋体" w:cs="Times New Roman"/>
                <w:kern w:val="0"/>
                <w:sz w:val="24"/>
                <w:szCs w:val="24"/>
              </w:rPr>
              <w:t>），具体标准值见下表：</w:t>
            </w:r>
          </w:p>
          <w:p>
            <w:pPr>
              <w:spacing w:line="360" w:lineRule="auto"/>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表3</w:t>
            </w:r>
            <w:r>
              <w:rPr>
                <w:rFonts w:ascii="Times New Roman" w:hAnsi="Times New Roman" w:eastAsia="宋体" w:cs="Times New Roman"/>
                <w:b/>
                <w:bCs/>
                <w:kern w:val="0"/>
                <w:sz w:val="24"/>
                <w:szCs w:val="24"/>
              </w:rPr>
              <w:t xml:space="preserve">-4 </w:t>
            </w:r>
            <w:r>
              <w:rPr>
                <w:rFonts w:hint="eastAsia" w:ascii="Times New Roman" w:hAnsi="Times New Roman" w:eastAsia="宋体" w:cs="Times New Roman"/>
                <w:b/>
                <w:bCs/>
                <w:kern w:val="0"/>
                <w:sz w:val="24"/>
                <w:szCs w:val="24"/>
              </w:rPr>
              <w:t>大气污染物综合排放标准</w:t>
            </w:r>
          </w:p>
          <w:tbl>
            <w:tblPr>
              <w:tblStyle w:val="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87"/>
              <w:gridCol w:w="3425"/>
              <w:gridCol w:w="21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787" w:type="dxa"/>
                  <w:vMerge w:val="restart"/>
                  <w:vAlign w:val="center"/>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污染物</w:t>
                  </w:r>
                </w:p>
              </w:tc>
              <w:tc>
                <w:tcPr>
                  <w:tcW w:w="5576" w:type="dxa"/>
                  <w:gridSpan w:val="2"/>
                  <w:vAlign w:val="center"/>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无组织排放监控浓度限值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87" w:type="dxa"/>
                  <w:vMerge w:val="continue"/>
                  <w:vAlign w:val="center"/>
                </w:tcPr>
                <w:p>
                  <w:pPr>
                    <w:jc w:val="center"/>
                    <w:rPr>
                      <w:rFonts w:ascii="Times New Roman" w:hAnsi="Times New Roman" w:eastAsia="宋体" w:cs="Times New Roman"/>
                      <w:b/>
                      <w:bCs/>
                      <w:kern w:val="0"/>
                      <w:szCs w:val="21"/>
                    </w:rPr>
                  </w:pPr>
                </w:p>
              </w:tc>
              <w:tc>
                <w:tcPr>
                  <w:tcW w:w="3425" w:type="dxa"/>
                  <w:vAlign w:val="center"/>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监控点</w:t>
                  </w:r>
                </w:p>
              </w:tc>
              <w:tc>
                <w:tcPr>
                  <w:tcW w:w="2151" w:type="dxa"/>
                  <w:vAlign w:val="center"/>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浓度（</w:t>
                  </w:r>
                  <w:r>
                    <w:rPr>
                      <w:rFonts w:ascii="Times New Roman" w:hAnsi="Times New Roman" w:eastAsia="宋体" w:cs="Times New Roman"/>
                      <w:b/>
                      <w:bCs/>
                      <w:kern w:val="0"/>
                      <w:szCs w:val="21"/>
                    </w:rPr>
                    <w:t>mg/m</w:t>
                  </w:r>
                  <w:r>
                    <w:rPr>
                      <w:rFonts w:ascii="Times New Roman" w:hAnsi="Times New Roman" w:eastAsia="宋体" w:cs="Times New Roman"/>
                      <w:b/>
                      <w:bCs/>
                      <w:kern w:val="0"/>
                      <w:szCs w:val="21"/>
                      <w:vertAlign w:val="superscript"/>
                    </w:rPr>
                    <w:t>3</w:t>
                  </w:r>
                  <w:r>
                    <w:rPr>
                      <w:rFonts w:hint="eastAsia" w:ascii="Times New Roman" w:hAnsi="Times New Roman" w:eastAsia="宋体" w:cs="Times New Roman"/>
                      <w:b/>
                      <w:bCs/>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87"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颗粒物</w:t>
                  </w:r>
                </w:p>
              </w:tc>
              <w:tc>
                <w:tcPr>
                  <w:tcW w:w="3425"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周界外浓度最高点</w:t>
                  </w:r>
                </w:p>
              </w:tc>
              <w:tc>
                <w:tcPr>
                  <w:tcW w:w="2151"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w:t>
                  </w:r>
                  <w:r>
                    <w:rPr>
                      <w:rFonts w:ascii="Times New Roman" w:hAnsi="Times New Roman" w:eastAsia="宋体" w:cs="Times New Roman"/>
                      <w:kern w:val="0"/>
                      <w:szCs w:val="21"/>
                    </w:rPr>
                    <w:t>.0</w:t>
                  </w:r>
                </w:p>
              </w:tc>
            </w:tr>
          </w:tbl>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运营期：运营期废气排放执行《煤炭工业污染物排放标准》（G</w:t>
            </w:r>
            <w:r>
              <w:rPr>
                <w:rFonts w:ascii="Times New Roman" w:hAnsi="Times New Roman" w:eastAsia="宋体" w:cs="Times New Roman"/>
                <w:kern w:val="0"/>
                <w:sz w:val="24"/>
                <w:szCs w:val="24"/>
              </w:rPr>
              <w:t>B20426-2006</w:t>
            </w:r>
            <w:r>
              <w:rPr>
                <w:rFonts w:hint="eastAsia" w:ascii="Times New Roman" w:hAnsi="Times New Roman" w:eastAsia="宋体" w:cs="Times New Roman"/>
                <w:kern w:val="0"/>
                <w:sz w:val="24"/>
                <w:szCs w:val="24"/>
              </w:rPr>
              <w:t>），具体标准值见下表：</w:t>
            </w:r>
          </w:p>
          <w:p>
            <w:pPr>
              <w:pStyle w:val="3"/>
              <w:spacing w:before="0" w:after="0"/>
              <w:ind w:right="0"/>
              <w:jc w:val="center"/>
              <w:rPr>
                <w:rFonts w:ascii="宋体" w:hAnsi="宋体"/>
                <w:b/>
                <w:bCs/>
                <w:color w:val="000000"/>
                <w:sz w:val="24"/>
                <w:szCs w:val="24"/>
              </w:rPr>
            </w:pPr>
          </w:p>
          <w:p>
            <w:pPr>
              <w:pStyle w:val="3"/>
              <w:spacing w:before="0" w:after="0"/>
              <w:ind w:right="0"/>
              <w:jc w:val="center"/>
              <w:rPr>
                <w:rFonts w:ascii="宋体" w:hAnsi="宋体"/>
                <w:b/>
                <w:bCs/>
                <w:color w:val="000000"/>
                <w:sz w:val="24"/>
                <w:szCs w:val="24"/>
              </w:rPr>
            </w:pPr>
            <w:r>
              <w:rPr>
                <w:rFonts w:ascii="宋体" w:hAnsi="宋体"/>
                <w:b/>
                <w:bCs/>
                <w:color w:val="000000"/>
                <w:sz w:val="24"/>
                <w:szCs w:val="24"/>
              </w:rPr>
              <w:t>表</w:t>
            </w:r>
            <w:r>
              <w:rPr>
                <w:rFonts w:hint="eastAsia"/>
                <w:b/>
                <w:bCs/>
                <w:color w:val="000000"/>
                <w:sz w:val="24"/>
                <w:szCs w:val="24"/>
              </w:rPr>
              <w:t>3-</w:t>
            </w:r>
            <w:r>
              <w:rPr>
                <w:b/>
                <w:bCs/>
                <w:color w:val="000000"/>
                <w:sz w:val="24"/>
                <w:szCs w:val="24"/>
              </w:rPr>
              <w:t xml:space="preserve">5  </w:t>
            </w:r>
            <w:r>
              <w:rPr>
                <w:rFonts w:hint="eastAsia"/>
                <w:b/>
                <w:bCs/>
                <w:color w:val="000000"/>
                <w:sz w:val="24"/>
                <w:szCs w:val="24"/>
              </w:rPr>
              <w:t>运营期</w:t>
            </w:r>
            <w:r>
              <w:rPr>
                <w:rFonts w:hint="eastAsia" w:ascii="宋体" w:hAnsi="宋体"/>
                <w:b/>
                <w:bCs/>
                <w:color w:val="000000"/>
                <w:sz w:val="24"/>
                <w:szCs w:val="24"/>
              </w:rPr>
              <w:t>废气排放标准</w:t>
            </w:r>
          </w:p>
          <w:tbl>
            <w:tblPr>
              <w:tblStyle w:val="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44"/>
              <w:gridCol w:w="1647"/>
              <w:gridCol w:w="2096"/>
              <w:gridCol w:w="20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44" w:type="dxa"/>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标准名称</w:t>
                  </w:r>
                </w:p>
              </w:tc>
              <w:tc>
                <w:tcPr>
                  <w:tcW w:w="1647" w:type="dxa"/>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级别</w:t>
                  </w:r>
                </w:p>
              </w:tc>
              <w:tc>
                <w:tcPr>
                  <w:tcW w:w="2096" w:type="dxa"/>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污染因子</w:t>
                  </w:r>
                </w:p>
              </w:tc>
              <w:tc>
                <w:tcPr>
                  <w:tcW w:w="2096" w:type="dxa"/>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44"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《煤炭工业污染物排放标准》（</w:t>
                  </w:r>
                  <w:r>
                    <w:rPr>
                      <w:rFonts w:ascii="Times New Roman" w:hAnsi="Times New Roman" w:eastAsia="宋体" w:cs="Times New Roman"/>
                      <w:kern w:val="0"/>
                      <w:szCs w:val="21"/>
                    </w:rPr>
                    <w:t>GB20426-2006）</w:t>
                  </w:r>
                </w:p>
              </w:tc>
              <w:tc>
                <w:tcPr>
                  <w:tcW w:w="1647"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周界外最高点</w:t>
                  </w:r>
                </w:p>
              </w:tc>
              <w:tc>
                <w:tcPr>
                  <w:tcW w:w="2096"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颗粒物</w:t>
                  </w:r>
                </w:p>
              </w:tc>
              <w:tc>
                <w:tcPr>
                  <w:tcW w:w="2096"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周界外浓度最高值1</w:t>
                  </w:r>
                  <w:r>
                    <w:rPr>
                      <w:rFonts w:ascii="Times New Roman" w:hAnsi="Times New Roman" w:eastAsia="宋体" w:cs="Times New Roman"/>
                      <w:kern w:val="0"/>
                      <w:szCs w:val="21"/>
                    </w:rPr>
                    <w:t>.0 mg/m</w:t>
                  </w:r>
                  <w:r>
                    <w:rPr>
                      <w:rFonts w:ascii="Times New Roman" w:hAnsi="Times New Roman" w:eastAsia="宋体" w:cs="Times New Roman"/>
                      <w:kern w:val="0"/>
                      <w:szCs w:val="21"/>
                      <w:vertAlign w:val="superscript"/>
                    </w:rPr>
                    <w:t>3</w:t>
                  </w:r>
                </w:p>
              </w:tc>
            </w:tr>
          </w:tbl>
          <w:p>
            <w:pPr>
              <w:spacing w:line="360" w:lineRule="auto"/>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2、废水排放标准</w:t>
            </w:r>
          </w:p>
          <w:p>
            <w:pPr>
              <w:spacing w:line="360" w:lineRule="auto"/>
              <w:ind w:firstLine="480" w:firstLineChars="200"/>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项目无生产废水产生，项目生活污水经化粪池收集后，定期清掏用于周边农田施肥；正常情况下初期雨水沉淀后回用于厂区洒水降尘，暴雨情况多余雨水可经过沉淀后满足《废水综合排放标准》（G</w:t>
            </w:r>
            <w:r>
              <w:rPr>
                <w:rFonts w:ascii="Times New Roman" w:hAnsi="Times New Roman" w:eastAsia="宋体" w:cs="Times New Roman"/>
                <w:kern w:val="0"/>
                <w:sz w:val="24"/>
                <w:szCs w:val="24"/>
              </w:rPr>
              <w:t>B8978-1996</w:t>
            </w:r>
            <w:r>
              <w:rPr>
                <w:rFonts w:hint="eastAsia" w:ascii="Times New Roman" w:hAnsi="Times New Roman" w:eastAsia="宋体" w:cs="Times New Roman"/>
                <w:kern w:val="0"/>
                <w:sz w:val="24"/>
                <w:szCs w:val="24"/>
              </w:rPr>
              <w:t>）表2一级排放标准后达标排放。</w:t>
            </w:r>
          </w:p>
          <w:p>
            <w:pPr>
              <w:spacing w:line="360" w:lineRule="auto"/>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3、噪声排放标准</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施工期：噪声执行《建筑施工厂界环境噪声排放标准》（G</w:t>
            </w:r>
            <w:r>
              <w:rPr>
                <w:rFonts w:ascii="Times New Roman" w:hAnsi="Times New Roman" w:eastAsia="宋体" w:cs="Times New Roman"/>
                <w:kern w:val="0"/>
                <w:sz w:val="24"/>
                <w:szCs w:val="24"/>
              </w:rPr>
              <w:t>B12523-2011</w:t>
            </w:r>
            <w:r>
              <w:rPr>
                <w:rFonts w:hint="eastAsia" w:ascii="Times New Roman" w:hAnsi="Times New Roman" w:eastAsia="宋体" w:cs="Times New Roman"/>
                <w:kern w:val="0"/>
                <w:sz w:val="24"/>
                <w:szCs w:val="24"/>
              </w:rPr>
              <w:t>）中相关标准，具体标准值见下表：</w:t>
            </w:r>
          </w:p>
          <w:p>
            <w:pPr>
              <w:pStyle w:val="3"/>
              <w:spacing w:before="0" w:after="0"/>
              <w:ind w:right="0"/>
              <w:jc w:val="center"/>
              <w:rPr>
                <w:b/>
                <w:bCs/>
                <w:color w:val="000000"/>
                <w:sz w:val="24"/>
                <w:szCs w:val="24"/>
              </w:rPr>
            </w:pPr>
            <w:r>
              <w:rPr>
                <w:rFonts w:hint="eastAsia"/>
                <w:b/>
                <w:bCs/>
                <w:color w:val="000000"/>
                <w:sz w:val="24"/>
                <w:szCs w:val="24"/>
              </w:rPr>
              <w:t>表3</w:t>
            </w:r>
            <w:r>
              <w:rPr>
                <w:b/>
                <w:bCs/>
                <w:color w:val="000000"/>
                <w:sz w:val="24"/>
                <w:szCs w:val="24"/>
              </w:rPr>
              <w:t>-6 建筑施工场界环境噪声排放标准单位：（Leq[dB(A)]）</w:t>
            </w:r>
          </w:p>
          <w:tbl>
            <w:tblPr>
              <w:tblStyle w:val="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985"/>
              <w:gridCol w:w="45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45" w:type="pct"/>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昼间</w:t>
                  </w:r>
                </w:p>
              </w:tc>
              <w:tc>
                <w:tcPr>
                  <w:tcW w:w="2655" w:type="pct"/>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45" w:type="pct"/>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70</w:t>
                  </w:r>
                </w:p>
              </w:tc>
              <w:tc>
                <w:tcPr>
                  <w:tcW w:w="2655" w:type="pct"/>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55</w:t>
                  </w:r>
                </w:p>
              </w:tc>
            </w:tr>
          </w:tbl>
          <w:p>
            <w:pPr>
              <w:autoSpaceDE w:val="0"/>
              <w:autoSpaceDN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营运期：项目执行噪声执行《工业企业厂界环境噪声排放标准》（</w:t>
            </w:r>
            <w:r>
              <w:rPr>
                <w:rFonts w:ascii="Times New Roman" w:hAnsi="Times New Roman" w:eastAsia="宋体" w:cs="Times New Roman"/>
                <w:kern w:val="0"/>
                <w:sz w:val="24"/>
                <w:szCs w:val="24"/>
              </w:rPr>
              <w:t>GB12348-2008）2类标准要求</w:t>
            </w:r>
            <w:r>
              <w:rPr>
                <w:rFonts w:hint="eastAsia" w:ascii="Times New Roman" w:hAnsi="Times New Roman" w:eastAsia="宋体" w:cs="Times New Roman"/>
                <w:kern w:val="0"/>
                <w:sz w:val="24"/>
                <w:szCs w:val="24"/>
              </w:rPr>
              <w:t>，具体标准值见下表</w:t>
            </w:r>
          </w:p>
          <w:p>
            <w:pPr>
              <w:autoSpaceDE w:val="0"/>
              <w:autoSpaceDN w:val="0"/>
              <w:spacing w:line="360" w:lineRule="auto"/>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表3</w:t>
            </w:r>
            <w:r>
              <w:rPr>
                <w:rFonts w:ascii="Times New Roman" w:hAnsi="Times New Roman" w:eastAsia="宋体" w:cs="Times New Roman"/>
                <w:b/>
                <w:bCs/>
                <w:kern w:val="0"/>
                <w:sz w:val="24"/>
                <w:szCs w:val="24"/>
              </w:rPr>
              <w:t xml:space="preserve">-7 </w:t>
            </w:r>
            <w:r>
              <w:rPr>
                <w:rFonts w:hint="eastAsia" w:ascii="Times New Roman" w:hAnsi="Times New Roman" w:eastAsia="宋体" w:cs="Times New Roman"/>
                <w:b/>
                <w:bCs/>
                <w:kern w:val="0"/>
                <w:sz w:val="24"/>
                <w:szCs w:val="24"/>
              </w:rPr>
              <w:t>工业企业厂界环境噪声排放标准</w:t>
            </w:r>
            <w:r>
              <w:rPr>
                <w:rFonts w:ascii="Times New Roman" w:hAnsi="Times New Roman" w:eastAsia="宋体" w:cs="Times New Roman"/>
                <w:b/>
                <w:bCs/>
                <w:kern w:val="0"/>
                <w:sz w:val="24"/>
                <w:szCs w:val="24"/>
              </w:rPr>
              <w:t xml:space="preserve">   单位：dB（A）</w:t>
            </w:r>
          </w:p>
          <w:tbl>
            <w:tblPr>
              <w:tblStyle w:val="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43"/>
              <w:gridCol w:w="2299"/>
              <w:gridCol w:w="19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7" w:type="pct"/>
                  <w:vAlign w:val="center"/>
                </w:tcPr>
                <w:p>
                  <w:pPr>
                    <w:jc w:val="center"/>
                    <w:rPr>
                      <w:rFonts w:ascii="Times New Roman" w:hAnsi="Times New Roman" w:eastAsia="宋体" w:cs="Times New Roman"/>
                      <w:szCs w:val="21"/>
                    </w:rPr>
                  </w:pPr>
                  <w:bookmarkStart w:id="38" w:name="_Toc203273762"/>
                  <w:bookmarkStart w:id="39" w:name="_Toc203272527"/>
                  <w:bookmarkStart w:id="40" w:name="_Toc203274993"/>
                  <w:r>
                    <w:rPr>
                      <w:rFonts w:ascii="Times New Roman" w:hAnsi="Times New Roman" w:eastAsia="宋体" w:cs="Times New Roman"/>
                      <w:szCs w:val="21"/>
                    </w:rPr>
                    <w:t>类别</w:t>
                  </w:r>
                  <w:bookmarkEnd w:id="38"/>
                  <w:bookmarkEnd w:id="39"/>
                  <w:bookmarkEnd w:id="40"/>
                </w:p>
              </w:tc>
              <w:tc>
                <w:tcPr>
                  <w:tcW w:w="1353" w:type="pct"/>
                  <w:vAlign w:val="center"/>
                </w:tcPr>
                <w:p>
                  <w:pPr>
                    <w:jc w:val="center"/>
                    <w:rPr>
                      <w:rFonts w:ascii="Times New Roman" w:hAnsi="Times New Roman" w:eastAsia="宋体" w:cs="Times New Roman"/>
                      <w:szCs w:val="21"/>
                    </w:rPr>
                  </w:pPr>
                  <w:bookmarkStart w:id="41" w:name="_Toc203272528"/>
                  <w:bookmarkStart w:id="42" w:name="_Toc203274994"/>
                  <w:bookmarkStart w:id="43" w:name="_Toc203273763"/>
                  <w:r>
                    <w:rPr>
                      <w:rFonts w:ascii="Times New Roman" w:hAnsi="Times New Roman" w:eastAsia="宋体" w:cs="Times New Roman"/>
                      <w:szCs w:val="21"/>
                    </w:rPr>
                    <w:t>昼间</w:t>
                  </w:r>
                  <w:bookmarkEnd w:id="41"/>
                  <w:bookmarkEnd w:id="42"/>
                  <w:bookmarkEnd w:id="43"/>
                </w:p>
              </w:tc>
              <w:tc>
                <w:tcPr>
                  <w:tcW w:w="1150" w:type="pct"/>
                  <w:vAlign w:val="center"/>
                </w:tcPr>
                <w:p>
                  <w:pPr>
                    <w:jc w:val="center"/>
                    <w:rPr>
                      <w:rFonts w:ascii="Times New Roman" w:hAnsi="Times New Roman" w:eastAsia="宋体" w:cs="Times New Roman"/>
                      <w:szCs w:val="21"/>
                    </w:rPr>
                  </w:pPr>
                  <w:bookmarkStart w:id="44" w:name="_Toc203273764"/>
                  <w:bookmarkStart w:id="45" w:name="_Toc203274995"/>
                  <w:bookmarkStart w:id="46" w:name="_Toc203272529"/>
                  <w:r>
                    <w:rPr>
                      <w:rFonts w:ascii="Times New Roman" w:hAnsi="Times New Roman" w:eastAsia="宋体" w:cs="Times New Roman"/>
                      <w:szCs w:val="21"/>
                    </w:rPr>
                    <w:t>夜间</w:t>
                  </w:r>
                  <w:bookmarkEnd w:id="44"/>
                  <w:bookmarkEnd w:id="45"/>
                  <w:bookmarkEnd w:id="4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497" w:type="pct"/>
                  <w:vAlign w:val="center"/>
                </w:tcPr>
                <w:p>
                  <w:pPr>
                    <w:jc w:val="center"/>
                    <w:rPr>
                      <w:rFonts w:ascii="Times New Roman" w:hAnsi="Times New Roman" w:eastAsia="宋体" w:cs="Times New Roman"/>
                      <w:szCs w:val="21"/>
                    </w:rPr>
                  </w:pPr>
                  <w:bookmarkStart w:id="47" w:name="_Toc203274996"/>
                  <w:bookmarkStart w:id="48" w:name="_Toc203273765"/>
                  <w:bookmarkStart w:id="49" w:name="_Toc203272530"/>
                  <w:r>
                    <w:rPr>
                      <w:rFonts w:ascii="Times New Roman" w:hAnsi="Times New Roman" w:eastAsia="宋体" w:cs="Times New Roman"/>
                      <w:szCs w:val="21"/>
                    </w:rPr>
                    <w:t>GB12348-2008，2类标准限值</w:t>
                  </w:r>
                  <w:bookmarkEnd w:id="47"/>
                  <w:bookmarkEnd w:id="48"/>
                  <w:bookmarkEnd w:id="49"/>
                </w:p>
              </w:tc>
              <w:tc>
                <w:tcPr>
                  <w:tcW w:w="135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60</w:t>
                  </w:r>
                </w:p>
              </w:tc>
              <w:tc>
                <w:tcPr>
                  <w:tcW w:w="115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50</w:t>
                  </w:r>
                </w:p>
              </w:tc>
            </w:tr>
          </w:tbl>
          <w:p>
            <w:pPr>
              <w:spacing w:line="360" w:lineRule="auto"/>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4、固体废物</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一般工业固体废物执行《一般工业固体废物贮存和填埋污染控制标准》（</w:t>
            </w:r>
            <w:r>
              <w:rPr>
                <w:rFonts w:ascii="Times New Roman" w:hAnsi="Times New Roman" w:eastAsia="宋体" w:cs="Times New Roman"/>
                <w:kern w:val="0"/>
                <w:sz w:val="24"/>
                <w:szCs w:val="24"/>
              </w:rPr>
              <w:t>GB18599-2020</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；生活垃圾执行《生活垃圾填埋场污染物控制标准》（GB16889-2008）及2013年修改单中的相关规定。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Align w:val="center"/>
          </w:tcPr>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总量</w:t>
            </w:r>
          </w:p>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控制</w:t>
            </w:r>
          </w:p>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指标</w:t>
            </w:r>
          </w:p>
        </w:tc>
        <w:tc>
          <w:tcPr>
            <w:tcW w:w="4481" w:type="pct"/>
          </w:tcPr>
          <w:p>
            <w:pPr>
              <w:pStyle w:val="21"/>
              <w:adjustRightInd/>
              <w:snapToGrid/>
              <w:rPr>
                <w:rFonts w:hAnsi="宋体"/>
                <w:kern w:val="0"/>
                <w:sz w:val="24"/>
              </w:rPr>
            </w:pPr>
            <w:r>
              <w:rPr>
                <w:rFonts w:hAnsi="宋体"/>
                <w:kern w:val="0"/>
                <w:sz w:val="24"/>
              </w:rPr>
              <w:t>根据国家环境保护规划及湖南省要求的总量控制目标，以SO</w:t>
            </w:r>
            <w:r>
              <w:rPr>
                <w:rFonts w:hAnsi="宋体"/>
                <w:kern w:val="0"/>
                <w:sz w:val="24"/>
                <w:vertAlign w:val="subscript"/>
              </w:rPr>
              <w:t>2</w:t>
            </w:r>
            <w:r>
              <w:rPr>
                <w:rFonts w:hAnsi="宋体"/>
                <w:kern w:val="0"/>
                <w:sz w:val="24"/>
              </w:rPr>
              <w:t>、NO</w:t>
            </w:r>
            <w:r>
              <w:rPr>
                <w:rFonts w:hAnsi="宋体"/>
                <w:kern w:val="0"/>
                <w:sz w:val="24"/>
                <w:vertAlign w:val="subscript"/>
              </w:rPr>
              <w:t>X</w:t>
            </w:r>
            <w:r>
              <w:rPr>
                <w:rFonts w:hAnsi="宋体"/>
                <w:kern w:val="0"/>
                <w:sz w:val="24"/>
              </w:rPr>
              <w:t>、COD、氨氮作为评价总量控制的对象</w:t>
            </w:r>
            <w:r>
              <w:rPr>
                <w:rFonts w:hint="eastAsia" w:hAnsi="宋体"/>
                <w:kern w:val="0"/>
                <w:sz w:val="24"/>
              </w:rPr>
              <w:t>，推荐性控制指标VOCs</w:t>
            </w:r>
            <w:r>
              <w:rPr>
                <w:rFonts w:hAnsi="宋体"/>
                <w:kern w:val="0"/>
                <w:sz w:val="24"/>
              </w:rPr>
              <w:t>。</w:t>
            </w:r>
          </w:p>
          <w:p>
            <w:pPr>
              <w:spacing w:line="360" w:lineRule="auto"/>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1、大气污染物排放总量控制指标</w:t>
            </w:r>
          </w:p>
          <w:p>
            <w:pPr>
              <w:pStyle w:val="21"/>
              <w:adjustRightInd/>
              <w:snapToGrid/>
              <w:rPr>
                <w:color w:val="000000"/>
                <w:kern w:val="0"/>
                <w:sz w:val="24"/>
              </w:rPr>
            </w:pPr>
            <w:r>
              <w:rPr>
                <w:rFonts w:hint="eastAsia"/>
                <w:color w:val="000000"/>
                <w:kern w:val="0"/>
                <w:sz w:val="24"/>
              </w:rPr>
              <w:t>本项目建设后运营期外排废气主要污染因子为无组织排放的颗粒物，不涉及</w:t>
            </w:r>
            <w:r>
              <w:rPr>
                <w:color w:val="000000"/>
                <w:kern w:val="0"/>
                <w:sz w:val="24"/>
              </w:rPr>
              <w:t>SO</w:t>
            </w:r>
            <w:r>
              <w:rPr>
                <w:color w:val="000000"/>
                <w:kern w:val="0"/>
                <w:sz w:val="24"/>
                <w:vertAlign w:val="subscript"/>
              </w:rPr>
              <w:t>2</w:t>
            </w:r>
            <w:r>
              <w:rPr>
                <w:color w:val="000000"/>
                <w:kern w:val="0"/>
                <w:sz w:val="24"/>
              </w:rPr>
              <w:t>、NO</w:t>
            </w:r>
            <w:r>
              <w:rPr>
                <w:color w:val="000000"/>
                <w:kern w:val="0"/>
                <w:sz w:val="24"/>
                <w:vertAlign w:val="subscript"/>
              </w:rPr>
              <w:t>X</w:t>
            </w:r>
            <w:r>
              <w:rPr>
                <w:color w:val="000000"/>
                <w:kern w:val="0"/>
                <w:sz w:val="24"/>
              </w:rPr>
              <w:t>、VOCs污染物排放，故不设SO</w:t>
            </w:r>
            <w:r>
              <w:rPr>
                <w:color w:val="000000"/>
                <w:kern w:val="0"/>
                <w:sz w:val="24"/>
                <w:vertAlign w:val="subscript"/>
              </w:rPr>
              <w:t>2</w:t>
            </w:r>
            <w:r>
              <w:rPr>
                <w:color w:val="000000"/>
                <w:kern w:val="0"/>
                <w:sz w:val="24"/>
              </w:rPr>
              <w:t>、NO</w:t>
            </w:r>
            <w:r>
              <w:rPr>
                <w:color w:val="000000"/>
                <w:kern w:val="0"/>
                <w:sz w:val="24"/>
                <w:vertAlign w:val="subscript"/>
              </w:rPr>
              <w:t>X</w:t>
            </w:r>
            <w:r>
              <w:rPr>
                <w:color w:val="000000"/>
                <w:kern w:val="0"/>
                <w:sz w:val="24"/>
              </w:rPr>
              <w:t>、VOCs大气总量控制指标。</w:t>
            </w:r>
          </w:p>
          <w:p>
            <w:pPr>
              <w:spacing w:line="360" w:lineRule="auto"/>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2、水污染物排放总量控制指标</w:t>
            </w:r>
          </w:p>
          <w:p>
            <w:pPr>
              <w:pStyle w:val="21"/>
              <w:rPr>
                <w:color w:val="000000"/>
                <w:kern w:val="0"/>
                <w:sz w:val="24"/>
                <w:lang w:val="en-US"/>
              </w:rPr>
            </w:pPr>
            <w:r>
              <w:rPr>
                <w:rFonts w:hint="eastAsia"/>
                <w:color w:val="000000"/>
                <w:kern w:val="0"/>
                <w:sz w:val="24"/>
              </w:rPr>
              <w:t>结合本项目的排污特点，项目排水采用雨污分流制；</w:t>
            </w:r>
            <w:r>
              <w:rPr>
                <w:rFonts w:hint="eastAsia"/>
                <w:color w:val="000000"/>
                <w:kern w:val="0"/>
                <w:sz w:val="24"/>
                <w:lang w:val="en-US"/>
              </w:rPr>
              <w:t>屋檐雨水经过屋檐收集槽收集排入雨水渠后和室外场地雨水经过雨水渠收集一同汇入初期雨水沉淀池（</w:t>
            </w:r>
            <w:r>
              <w:rPr>
                <w:rFonts w:hint="eastAsia"/>
                <w:bCs/>
                <w:iCs/>
                <w:color w:val="000000"/>
                <w:kern w:val="0"/>
                <w:sz w:val="24"/>
                <w:lang w:val="en-US"/>
              </w:rPr>
              <w:t>3</w:t>
            </w:r>
            <w:r>
              <w:rPr>
                <w:bCs/>
                <w:iCs/>
                <w:color w:val="000000"/>
                <w:kern w:val="0"/>
                <w:sz w:val="24"/>
                <w:lang w:val="en-US"/>
              </w:rPr>
              <w:t>00</w:t>
            </w:r>
            <w:r>
              <w:rPr>
                <w:color w:val="000000"/>
                <w:kern w:val="0"/>
                <w:sz w:val="24"/>
                <w:lang w:val="en-US"/>
              </w:rPr>
              <w:t>m</w:t>
            </w:r>
            <w:r>
              <w:rPr>
                <w:color w:val="000000"/>
                <w:kern w:val="0"/>
                <w:sz w:val="24"/>
                <w:vertAlign w:val="superscript"/>
                <w:lang w:val="en-US"/>
              </w:rPr>
              <w:t>3</w:t>
            </w:r>
            <w:r>
              <w:rPr>
                <w:rFonts w:hint="eastAsia"/>
                <w:color w:val="000000"/>
                <w:kern w:val="0"/>
                <w:sz w:val="24"/>
                <w:lang w:val="en-US"/>
              </w:rPr>
              <w:t>大小</w:t>
            </w:r>
            <w:r>
              <w:rPr>
                <w:color w:val="000000"/>
                <w:kern w:val="0"/>
                <w:sz w:val="24"/>
                <w:lang w:val="en-US"/>
              </w:rPr>
              <w:t>）</w:t>
            </w:r>
            <w:r>
              <w:rPr>
                <w:rFonts w:hint="eastAsia"/>
                <w:color w:val="000000"/>
                <w:kern w:val="0"/>
                <w:sz w:val="24"/>
                <w:lang w:val="en-US"/>
              </w:rPr>
              <w:t>，部分初期雨水可用于厂区洒水降尘，多余部分沉淀后外排；员工生活废水经化粪池预处理达标后用于周边农灌；煤炭区域喷淋及道路洒水产生的废水，该部分废水经过自然蒸发后基本无废水外排。故项目无需购买水污染物排放总量控制指标。</w:t>
            </w:r>
          </w:p>
          <w:p>
            <w:pPr>
              <w:pStyle w:val="21"/>
              <w:rPr>
                <w:color w:val="000000"/>
                <w:kern w:val="0"/>
                <w:sz w:val="24"/>
                <w:lang w:val="en-US"/>
              </w:rPr>
            </w:pPr>
            <w:r>
              <w:rPr>
                <w:rFonts w:hint="eastAsia"/>
                <w:color w:val="000000"/>
                <w:kern w:val="0"/>
                <w:sz w:val="24"/>
                <w:lang w:val="en-US"/>
              </w:rPr>
              <w:t>综上所述：本项目无需设置总量排放指标。</w:t>
            </w:r>
          </w:p>
          <w:p>
            <w:pPr>
              <w:pStyle w:val="21"/>
              <w:rPr>
                <w:color w:val="000000"/>
                <w:kern w:val="0"/>
                <w:sz w:val="24"/>
                <w:lang w:val="en-US"/>
              </w:rPr>
            </w:pPr>
          </w:p>
          <w:p>
            <w:pPr>
              <w:pStyle w:val="21"/>
              <w:adjustRightInd/>
              <w:snapToGrid/>
              <w:rPr>
                <w:color w:val="000000"/>
                <w:kern w:val="0"/>
                <w:sz w:val="24"/>
                <w:lang w:val="en-US"/>
              </w:rPr>
            </w:pPr>
          </w:p>
          <w:p>
            <w:pPr>
              <w:pStyle w:val="21"/>
              <w:adjustRightInd/>
              <w:snapToGrid/>
              <w:rPr>
                <w:color w:val="000000"/>
                <w:kern w:val="0"/>
                <w:sz w:val="24"/>
              </w:rPr>
            </w:pPr>
          </w:p>
          <w:p>
            <w:pPr>
              <w:spacing w:line="360" w:lineRule="auto"/>
              <w:ind w:firstLine="480" w:firstLineChars="200"/>
              <w:rPr>
                <w:rFonts w:ascii="Times New Roman" w:hAnsi="Times New Roman" w:eastAsia="宋体" w:cs="Times New Roman"/>
                <w:kern w:val="0"/>
                <w:sz w:val="24"/>
                <w:szCs w:val="24"/>
                <w:lang w:val="zh-CN"/>
              </w:rPr>
            </w:pPr>
          </w:p>
        </w:tc>
      </w:tr>
    </w:tbl>
    <w:p>
      <w:pPr>
        <w:pStyle w:val="2"/>
        <w:sectPr>
          <w:pgSz w:w="11906" w:h="16838"/>
          <w:pgMar w:top="1418" w:right="1418" w:bottom="1418" w:left="1418" w:header="851" w:footer="992" w:gutter="0"/>
          <w:pgNumType w:fmt="numberInDash"/>
          <w:cols w:space="425" w:num="1"/>
          <w:docGrid w:type="lines" w:linePitch="312" w:charSpace="0"/>
        </w:sectPr>
      </w:pPr>
    </w:p>
    <w:p>
      <w:pPr>
        <w:spacing w:before="240" w:after="60"/>
        <w:jc w:val="center"/>
        <w:outlineLvl w:val="0"/>
        <w:rPr>
          <w:rFonts w:ascii="Cambria" w:hAnsi="Cambria" w:eastAsia="宋体" w:cs="Times New Roman"/>
          <w:b/>
          <w:bCs/>
          <w:snapToGrid w:val="0"/>
          <w:sz w:val="32"/>
          <w:szCs w:val="32"/>
        </w:rPr>
      </w:pPr>
      <w:bookmarkStart w:id="50" w:name="_Toc69056613"/>
      <w:bookmarkStart w:id="51" w:name="_Toc132761811"/>
      <w:bookmarkStart w:id="52" w:name="_Toc136147468"/>
      <w:bookmarkStart w:id="53" w:name="_Toc147996966"/>
      <w:r>
        <w:rPr>
          <w:rFonts w:hint="eastAsia" w:ascii="Cambria" w:hAnsi="Cambria" w:eastAsia="宋体" w:cs="Times New Roman"/>
          <w:b/>
          <w:bCs/>
          <w:snapToGrid w:val="0"/>
          <w:sz w:val="32"/>
          <w:szCs w:val="32"/>
        </w:rPr>
        <w:t>四、主要环境影响和保护措施</w:t>
      </w:r>
      <w:bookmarkEnd w:id="50"/>
      <w:bookmarkEnd w:id="51"/>
      <w:bookmarkEnd w:id="52"/>
      <w:bookmarkEnd w:id="53"/>
    </w:p>
    <w:tbl>
      <w:tblPr>
        <w:tblStyle w:val="7"/>
        <w:tblW w:w="91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84"/>
        <w:gridCol w:w="87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454" w:type="dxa"/>
            <w:tcMar>
              <w:left w:w="28" w:type="dxa"/>
              <w:right w:w="28" w:type="dxa"/>
            </w:tcMar>
            <w:vAlign w:val="center"/>
          </w:tcPr>
          <w:p>
            <w:pPr>
              <w:widowControl/>
              <w:adjustRightInd w:val="0"/>
              <w:snapToGrid w:val="0"/>
              <w:jc w:val="center"/>
              <w:rPr>
                <w:rFonts w:ascii="宋体" w:hAnsi="宋体" w:eastAsia="宋体" w:cs="宋体"/>
                <w:szCs w:val="21"/>
              </w:rPr>
            </w:pPr>
            <w:r>
              <w:rPr>
                <w:rFonts w:hint="eastAsia" w:ascii="宋体" w:hAnsi="宋体" w:eastAsia="宋体" w:cs="宋体"/>
                <w:szCs w:val="21"/>
              </w:rPr>
              <w:t>施工</w:t>
            </w:r>
          </w:p>
          <w:p>
            <w:pPr>
              <w:widowControl/>
              <w:adjustRightInd w:val="0"/>
              <w:snapToGrid w:val="0"/>
              <w:jc w:val="center"/>
              <w:rPr>
                <w:rFonts w:ascii="宋体" w:hAnsi="宋体" w:eastAsia="宋体" w:cs="宋体"/>
                <w:szCs w:val="21"/>
              </w:rPr>
            </w:pPr>
            <w:r>
              <w:rPr>
                <w:rFonts w:hint="eastAsia" w:ascii="宋体" w:hAnsi="宋体" w:eastAsia="宋体" w:cs="宋体"/>
                <w:szCs w:val="21"/>
              </w:rPr>
              <w:t>期环</w:t>
            </w:r>
          </w:p>
          <w:p>
            <w:pPr>
              <w:widowControl/>
              <w:adjustRightInd w:val="0"/>
              <w:snapToGrid w:val="0"/>
              <w:jc w:val="center"/>
              <w:rPr>
                <w:rFonts w:ascii="宋体" w:hAnsi="宋体" w:eastAsia="宋体" w:cs="宋体"/>
                <w:szCs w:val="21"/>
              </w:rPr>
            </w:pPr>
            <w:r>
              <w:rPr>
                <w:rFonts w:hint="eastAsia" w:ascii="宋体" w:hAnsi="宋体" w:eastAsia="宋体" w:cs="宋体"/>
                <w:szCs w:val="21"/>
              </w:rPr>
              <w:t>境保</w:t>
            </w:r>
          </w:p>
          <w:p>
            <w:pPr>
              <w:widowControl/>
              <w:adjustRightInd w:val="0"/>
              <w:snapToGrid w:val="0"/>
              <w:jc w:val="center"/>
              <w:rPr>
                <w:rFonts w:ascii="宋体" w:hAnsi="宋体" w:eastAsia="宋体" w:cs="宋体"/>
                <w:szCs w:val="21"/>
              </w:rPr>
            </w:pPr>
            <w:r>
              <w:rPr>
                <w:rFonts w:hint="eastAsia" w:ascii="宋体" w:hAnsi="宋体" w:eastAsia="宋体" w:cs="宋体"/>
                <w:szCs w:val="21"/>
              </w:rPr>
              <w:t>护措</w:t>
            </w:r>
          </w:p>
          <w:p>
            <w:pPr>
              <w:widowControl/>
              <w:adjustRightInd w:val="0"/>
              <w:snapToGrid w:val="0"/>
              <w:jc w:val="center"/>
              <w:rPr>
                <w:rFonts w:ascii="宋体" w:hAnsi="宋体" w:eastAsia="宋体" w:cs="宋体"/>
                <w:bCs/>
                <w:szCs w:val="21"/>
              </w:rPr>
            </w:pPr>
            <w:r>
              <w:rPr>
                <w:rFonts w:hint="eastAsia" w:ascii="宋体" w:hAnsi="宋体" w:eastAsia="宋体" w:cs="宋体"/>
                <w:szCs w:val="21"/>
              </w:rPr>
              <w:t>施</w:t>
            </w:r>
          </w:p>
        </w:tc>
        <w:tc>
          <w:tcPr>
            <w:tcW w:w="8680" w:type="dxa"/>
            <w:vAlign w:val="center"/>
          </w:tcPr>
          <w:p>
            <w:pPr>
              <w:spacing w:line="360" w:lineRule="auto"/>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1、施工期水污染防治措施</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施工废水包括砂石料冲洗废水，以及雨水冲刷施工场地内裸露表土产生的含泥沙废水，主要污染因子为</w:t>
            </w:r>
            <w:r>
              <w:rPr>
                <w:rFonts w:ascii="Times New Roman" w:hAnsi="宋体" w:eastAsia="宋体" w:cs="Times New Roman"/>
                <w:color w:val="000000"/>
                <w:sz w:val="24"/>
                <w:szCs w:val="24"/>
              </w:rPr>
              <w:t>SS。施工期产生的各类施工废水应收集至沉淀池内进行沉淀，之后回用于施工及洒水抑尘使用，不外排。</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采取如上防治措施后，项目施工期产生的施工废水及车辆冲洗废均能得到有序的处理，不会对周边水环境造成太大的影响。</w:t>
            </w:r>
          </w:p>
          <w:p>
            <w:pPr>
              <w:spacing w:line="360" w:lineRule="auto"/>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2、施工期大气污染防治措施</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w:t>
            </w:r>
            <w:r>
              <w:rPr>
                <w:rFonts w:ascii="Times New Roman" w:hAnsi="宋体" w:eastAsia="宋体" w:cs="Times New Roman"/>
                <w:color w:val="000000"/>
                <w:sz w:val="24"/>
                <w:szCs w:val="24"/>
              </w:rPr>
              <w:t>1）施工期扬尘</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在施工过程中，应严格采取控制措施，例如对施工场地洒水、设置围挡、及时清洁车辆等，以减少施工扬尘对周围环境的影响。具体措施如下：</w:t>
            </w:r>
          </w:p>
          <w:p>
            <w:pPr>
              <w:spacing w:line="360" w:lineRule="auto"/>
              <w:ind w:firstLine="480" w:firstLineChars="200"/>
              <w:rPr>
                <w:rFonts w:ascii="Times New Roman" w:hAnsi="宋体" w:eastAsia="宋体" w:cs="Times New Roman"/>
                <w:color w:val="000000"/>
                <w:sz w:val="24"/>
                <w:szCs w:val="24"/>
              </w:rPr>
            </w:pPr>
            <w:r>
              <w:rPr>
                <w:rFonts w:ascii="Times New Roman" w:hAnsi="宋体" w:eastAsia="宋体" w:cs="Times New Roman"/>
                <w:color w:val="000000"/>
                <w:sz w:val="24"/>
                <w:szCs w:val="24"/>
              </w:rPr>
              <w:t>a、施工工地内堆放水泥、灰土、砂石等易产生扬尘污染物料的，应当遮盖或者在库房内存放，建筑垃圾、工程渣土应当在四十八小时内完成清运，不能按时完成清运的，应当在施工工地内临时堆放并采取围挡、遮盖等防尘措施，不得在施工工地外堆放建筑垃圾和工程渣土。</w:t>
            </w:r>
          </w:p>
          <w:p>
            <w:pPr>
              <w:spacing w:line="360" w:lineRule="auto"/>
              <w:ind w:firstLine="480" w:firstLineChars="200"/>
              <w:rPr>
                <w:rFonts w:ascii="Times New Roman" w:hAnsi="宋体" w:eastAsia="宋体" w:cs="Times New Roman"/>
                <w:color w:val="000000"/>
                <w:sz w:val="24"/>
                <w:szCs w:val="24"/>
              </w:rPr>
            </w:pPr>
            <w:r>
              <w:rPr>
                <w:rFonts w:ascii="Times New Roman" w:hAnsi="宋体" w:eastAsia="宋体" w:cs="Times New Roman"/>
                <w:color w:val="000000"/>
                <w:sz w:val="24"/>
                <w:szCs w:val="24"/>
              </w:rPr>
              <w:t>b、做到现场围挡、沙土覆盖、场内道路硬化、拆除过程湿化作业、出入车辆冲洗的扬尘污染防治要求。</w:t>
            </w:r>
          </w:p>
          <w:p>
            <w:pPr>
              <w:spacing w:line="360" w:lineRule="auto"/>
              <w:ind w:firstLine="480" w:firstLineChars="200"/>
              <w:rPr>
                <w:rFonts w:ascii="Times New Roman" w:hAnsi="宋体" w:eastAsia="宋体" w:cs="Times New Roman"/>
                <w:color w:val="000000"/>
                <w:sz w:val="24"/>
                <w:szCs w:val="24"/>
              </w:rPr>
            </w:pPr>
            <w:r>
              <w:rPr>
                <w:rFonts w:ascii="Times New Roman" w:hAnsi="宋体" w:eastAsia="宋体" w:cs="Times New Roman"/>
                <w:color w:val="000000"/>
                <w:sz w:val="24"/>
                <w:szCs w:val="24"/>
              </w:rPr>
              <w:t>c、施工作业区应配备专人负责，做到科学管理、文明施工；在基础施工期，应尽可能采取措施提高工程进度。</w:t>
            </w:r>
          </w:p>
          <w:p>
            <w:pPr>
              <w:spacing w:line="360" w:lineRule="auto"/>
              <w:ind w:firstLine="480" w:firstLineChars="200"/>
              <w:rPr>
                <w:rFonts w:ascii="Times New Roman" w:hAnsi="宋体" w:eastAsia="宋体" w:cs="Times New Roman"/>
                <w:color w:val="000000"/>
                <w:sz w:val="24"/>
                <w:szCs w:val="24"/>
              </w:rPr>
            </w:pPr>
            <w:r>
              <w:rPr>
                <w:rFonts w:ascii="Times New Roman" w:hAnsi="宋体" w:eastAsia="宋体" w:cs="Times New Roman"/>
                <w:color w:val="000000"/>
                <w:sz w:val="24"/>
                <w:szCs w:val="24"/>
              </w:rPr>
              <w:t>d、专人负责弃土、建筑垃圾处置、清运。</w:t>
            </w:r>
          </w:p>
          <w:p>
            <w:pPr>
              <w:spacing w:line="360" w:lineRule="auto"/>
              <w:ind w:firstLine="480" w:firstLineChars="200"/>
              <w:rPr>
                <w:rFonts w:ascii="Times New Roman" w:hAnsi="宋体" w:eastAsia="宋体" w:cs="Times New Roman"/>
                <w:color w:val="000000"/>
                <w:sz w:val="24"/>
                <w:szCs w:val="24"/>
              </w:rPr>
            </w:pPr>
            <w:r>
              <w:rPr>
                <w:rFonts w:ascii="Times New Roman" w:hAnsi="宋体" w:eastAsia="宋体" w:cs="Times New Roman"/>
                <w:color w:val="000000"/>
                <w:sz w:val="24"/>
                <w:szCs w:val="24"/>
              </w:rPr>
              <w:t>e、及时清理场地，改善施工场地的环境。</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通过以上措施能够有效的减少施工扬尘和运输车辆扬尘，大大减少对周围环境的影响。</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w:t>
            </w:r>
            <w:r>
              <w:rPr>
                <w:rFonts w:ascii="Times New Roman" w:hAnsi="宋体" w:eastAsia="宋体" w:cs="Times New Roman"/>
                <w:color w:val="000000"/>
                <w:sz w:val="24"/>
                <w:szCs w:val="24"/>
              </w:rPr>
              <w:t>2）施工机械、车辆尾气</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施工机械如推土机、挖掘机、装载机等燃油机械和运输车辆会产生尾气，由于施工工程量较小，使用的机械设备及车辆较少，且项目区域地势开阔，在空气中可得到有效扩散，此外，该废气对周边环境空气质量的影响是临时的，只限于施工期，施工结束后，影响随之消失。</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为了减轻施工机械尾气的影响，建议采取以下防治措施：</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①施工现场应合理布置车辆运输路线，配合有关部门搞好施工期间周围道路的交通组织，保证行驶速度，减少怠速时间，以减少机动车尾气的排放。</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②尽量选用低能耗、低污染排放的施工机械、车辆。</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③不得使用劣质燃料，尽量选用产污少、利用率高的环保燃料。</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④加强对施工机械、运输车辆的维修保养，禁止施工机械超负荷工作和运输车辆超载。</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w:t>
            </w:r>
            <w:r>
              <w:rPr>
                <w:rFonts w:ascii="Times New Roman" w:hAnsi="宋体" w:eastAsia="宋体" w:cs="Times New Roman"/>
                <w:color w:val="000000"/>
                <w:sz w:val="24"/>
                <w:szCs w:val="24"/>
              </w:rPr>
              <w:t>3）焊接烟尘、切割粉尘</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项目生产区均采用钢结构，在焊接、切割钢材时会产生焊接烟尘和切割粉尘，主要污染物为颗粒物、烟尘等。项目</w:t>
            </w:r>
            <w:r>
              <w:rPr>
                <w:rFonts w:ascii="Times New Roman" w:hAnsi="宋体" w:eastAsia="宋体" w:cs="Times New Roman"/>
                <w:color w:val="000000"/>
                <w:sz w:val="24"/>
                <w:szCs w:val="24"/>
              </w:rPr>
              <w:t>施工面积较小，且项目施工时间较短、地势较平坦开阔，废气易扩散开，扩散后的浓度较低，对周边大气环境影响较小，且厂房施工完后影响随即消失，因此焊接烟尘、切割粉尘不会对周边大气环境产生明显影响。</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w:t>
            </w:r>
            <w:r>
              <w:rPr>
                <w:rFonts w:ascii="Times New Roman" w:hAnsi="宋体" w:eastAsia="宋体" w:cs="Times New Roman"/>
                <w:color w:val="000000"/>
                <w:sz w:val="24"/>
                <w:szCs w:val="24"/>
              </w:rPr>
              <w:t>4）施工期应满足“六个100%要求”，即做到工地周边围挡100%，裸露土地和物料堆放覆盖100%，土方开挖湿法作业100%，路面硬化100%，出入车辆清洗100%，渣土车辆密闭运输100%。</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综上所述，本环评所建议的措施在建筑施工过程中普遍采用，根据实际施工情况防治效果较好，可大大减少施工期间产生的废气对环境的影响，因此，所采取措施是可行的。</w:t>
            </w:r>
          </w:p>
          <w:p>
            <w:pPr>
              <w:spacing w:line="360" w:lineRule="auto"/>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3、施工期噪声污染防治措施</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w:t>
            </w:r>
            <w:r>
              <w:rPr>
                <w:rFonts w:ascii="Times New Roman" w:hAnsi="宋体" w:eastAsia="宋体" w:cs="Times New Roman"/>
                <w:color w:val="000000"/>
                <w:sz w:val="24"/>
                <w:szCs w:val="24"/>
              </w:rPr>
              <w:t>1）根据《湖南省环境保护管理条例》相关规定，合理安排施工作业时间，禁止夜间（22:00～次日6:00）和午间（12:00～14:00）从事噪声、振动超标的建筑施工等活动。扩建项目施工应遵守以上条例规定，如需要连续作业或者特殊需要，确需在22:00～次日6:00时进行施工的，建设单位和施工单位必须报经当地环境保护主管部门批准，并予以公告。</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w:t>
            </w:r>
            <w:r>
              <w:rPr>
                <w:rFonts w:ascii="Times New Roman" w:hAnsi="宋体" w:eastAsia="宋体" w:cs="Times New Roman"/>
                <w:color w:val="000000"/>
                <w:sz w:val="24"/>
                <w:szCs w:val="24"/>
              </w:rPr>
              <w:t>2）选用低噪声施工机械，加强设备的管理和维护保养，保证各类机械设备的高效运转。高噪声设备错开使用，避免高噪声设备同时作业。</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w:t>
            </w:r>
            <w:r>
              <w:rPr>
                <w:rFonts w:ascii="Times New Roman" w:hAnsi="宋体" w:eastAsia="宋体" w:cs="Times New Roman"/>
                <w:color w:val="000000"/>
                <w:sz w:val="24"/>
                <w:szCs w:val="24"/>
              </w:rPr>
              <w:t>3）根据建设用地周围敏感目标的分布情况，合理布置施工机械，使机械设备噪声远离敏感目标或对周围环境的影响保持均衡。</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w:t>
            </w:r>
            <w:r>
              <w:rPr>
                <w:rFonts w:ascii="Times New Roman" w:hAnsi="宋体" w:eastAsia="宋体" w:cs="Times New Roman"/>
                <w:color w:val="000000"/>
                <w:sz w:val="24"/>
                <w:szCs w:val="24"/>
              </w:rPr>
              <w:t>4）对各施工环节中噪声较为突出且又难以对声源进行降噪的设备装置，应采取临时围障措施，围障最好辅以吸声材料，以此达到降噪效果。</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w:t>
            </w:r>
            <w:r>
              <w:rPr>
                <w:rFonts w:ascii="Times New Roman" w:hAnsi="宋体" w:eastAsia="宋体" w:cs="Times New Roman"/>
                <w:color w:val="000000"/>
                <w:sz w:val="24"/>
                <w:szCs w:val="24"/>
              </w:rPr>
              <w:t>5）提高工作效率，加快施工进度，尽可能缩短施工建设对周围环境的影响。</w:t>
            </w:r>
          </w:p>
          <w:p>
            <w:pPr>
              <w:spacing w:line="360" w:lineRule="auto"/>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4、施工期固体废物污染防治措施</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项目施工期间产生的固体废物主要包括主体工程建设过程中的建筑垃圾和施工人员产生的生活垃圾等。施是可行的。</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w:t>
            </w:r>
            <w:r>
              <w:rPr>
                <w:rFonts w:ascii="Times New Roman" w:hAnsi="宋体" w:eastAsia="宋体" w:cs="Times New Roman"/>
                <w:color w:val="000000"/>
                <w:sz w:val="24"/>
                <w:szCs w:val="24"/>
              </w:rPr>
              <w:t>1）</w:t>
            </w:r>
            <w:r>
              <w:rPr>
                <w:rFonts w:hint="eastAsia" w:ascii="Times New Roman" w:hAnsi="宋体" w:eastAsia="宋体" w:cs="Times New Roman"/>
                <w:color w:val="000000"/>
                <w:sz w:val="24"/>
                <w:szCs w:val="24"/>
              </w:rPr>
              <w:t>施工建筑垃圾</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建筑垃圾及渣土应妥善处置。对于建筑垃圾中较为稳定的成分，如废渣土、废砖头等，应分类进行综合利用和妥善处置，能够回用的尽量回用，不能回用的集中收集，及时清运并综合利用。</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w:t>
            </w:r>
            <w:r>
              <w:rPr>
                <w:rFonts w:ascii="Times New Roman" w:hAnsi="宋体" w:eastAsia="宋体" w:cs="Times New Roman"/>
                <w:color w:val="000000"/>
                <w:sz w:val="24"/>
                <w:szCs w:val="24"/>
              </w:rPr>
              <w:t>2）施工人员生活垃圾</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生活垃圾统一收集后交当地环卫部门处理。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454" w:type="dxa"/>
            <w:tcMar>
              <w:left w:w="28" w:type="dxa"/>
              <w:right w:w="28" w:type="dxa"/>
            </w:tcMar>
            <w:vAlign w:val="center"/>
          </w:tcPr>
          <w:p>
            <w:pPr>
              <w:widowControl/>
              <w:adjustRightInd w:val="0"/>
              <w:snapToGrid w:val="0"/>
              <w:jc w:val="center"/>
              <w:rPr>
                <w:rFonts w:ascii="宋体" w:hAnsi="宋体" w:eastAsia="宋体" w:cs="宋体"/>
                <w:szCs w:val="21"/>
              </w:rPr>
            </w:pPr>
            <w:r>
              <w:rPr>
                <w:rFonts w:hint="eastAsia" w:ascii="宋体" w:hAnsi="宋体" w:eastAsia="宋体" w:cs="宋体"/>
                <w:szCs w:val="21"/>
              </w:rPr>
              <w:t>运营</w:t>
            </w:r>
          </w:p>
          <w:p>
            <w:pPr>
              <w:widowControl/>
              <w:adjustRightInd w:val="0"/>
              <w:snapToGrid w:val="0"/>
              <w:jc w:val="center"/>
              <w:rPr>
                <w:rFonts w:ascii="宋体" w:hAnsi="宋体" w:eastAsia="宋体" w:cs="宋体"/>
                <w:szCs w:val="21"/>
              </w:rPr>
            </w:pPr>
            <w:r>
              <w:rPr>
                <w:rFonts w:hint="eastAsia" w:ascii="宋体" w:hAnsi="宋体" w:eastAsia="宋体" w:cs="宋体"/>
                <w:szCs w:val="21"/>
              </w:rPr>
              <w:t>期环</w:t>
            </w:r>
          </w:p>
          <w:p>
            <w:pPr>
              <w:widowControl/>
              <w:adjustRightInd w:val="0"/>
              <w:snapToGrid w:val="0"/>
              <w:jc w:val="center"/>
              <w:rPr>
                <w:rFonts w:ascii="宋体" w:hAnsi="宋体" w:eastAsia="宋体" w:cs="宋体"/>
                <w:szCs w:val="21"/>
              </w:rPr>
            </w:pPr>
            <w:r>
              <w:rPr>
                <w:rFonts w:hint="eastAsia" w:ascii="宋体" w:hAnsi="宋体" w:eastAsia="宋体" w:cs="宋体"/>
                <w:szCs w:val="21"/>
              </w:rPr>
              <w:t>境影</w:t>
            </w:r>
          </w:p>
          <w:p>
            <w:pPr>
              <w:widowControl/>
              <w:adjustRightInd w:val="0"/>
              <w:snapToGrid w:val="0"/>
              <w:jc w:val="center"/>
              <w:rPr>
                <w:rFonts w:ascii="宋体" w:hAnsi="宋体" w:eastAsia="宋体" w:cs="宋体"/>
                <w:szCs w:val="21"/>
              </w:rPr>
            </w:pPr>
            <w:r>
              <w:rPr>
                <w:rFonts w:hint="eastAsia" w:ascii="宋体" w:hAnsi="宋体" w:eastAsia="宋体" w:cs="宋体"/>
                <w:szCs w:val="21"/>
              </w:rPr>
              <w:t>响和</w:t>
            </w:r>
          </w:p>
          <w:p>
            <w:pPr>
              <w:widowControl/>
              <w:adjustRightInd w:val="0"/>
              <w:snapToGrid w:val="0"/>
              <w:jc w:val="center"/>
              <w:rPr>
                <w:rFonts w:ascii="宋体" w:hAnsi="宋体" w:eastAsia="宋体" w:cs="宋体"/>
                <w:szCs w:val="21"/>
              </w:rPr>
            </w:pPr>
            <w:r>
              <w:rPr>
                <w:rFonts w:hint="eastAsia" w:ascii="宋体" w:hAnsi="宋体" w:eastAsia="宋体" w:cs="宋体"/>
                <w:szCs w:val="21"/>
              </w:rPr>
              <w:t>保护</w:t>
            </w:r>
          </w:p>
          <w:p>
            <w:pPr>
              <w:widowControl/>
              <w:adjustRightInd w:val="0"/>
              <w:snapToGrid w:val="0"/>
              <w:jc w:val="center"/>
              <w:rPr>
                <w:rFonts w:ascii="宋体" w:hAnsi="宋体" w:eastAsia="宋体" w:cs="宋体"/>
                <w:szCs w:val="21"/>
              </w:rPr>
            </w:pPr>
            <w:r>
              <w:rPr>
                <w:rFonts w:hint="eastAsia" w:ascii="宋体" w:hAnsi="宋体" w:eastAsia="宋体" w:cs="宋体"/>
                <w:szCs w:val="21"/>
              </w:rPr>
              <w:t>措施</w:t>
            </w:r>
          </w:p>
        </w:tc>
        <w:tc>
          <w:tcPr>
            <w:tcW w:w="8680" w:type="dxa"/>
            <w:vAlign w:val="center"/>
          </w:tcPr>
          <w:p>
            <w:pPr>
              <w:spacing w:line="360" w:lineRule="auto"/>
              <w:rPr>
                <w:rFonts w:ascii="Times New Roman" w:hAnsi="Times New Roman" w:eastAsia="宋体" w:cs="Times New Roman"/>
                <w:b/>
                <w:sz w:val="24"/>
                <w:szCs w:val="24"/>
              </w:rPr>
            </w:pPr>
            <w:r>
              <w:rPr>
                <w:rFonts w:hint="eastAsia" w:ascii="Times New Roman" w:hAnsi="Times New Roman" w:eastAsia="宋体" w:cs="Times New Roman"/>
                <w:b/>
                <w:sz w:val="24"/>
                <w:szCs w:val="24"/>
              </w:rPr>
              <w:t>1、运营期大气环境影响及保护措施</w:t>
            </w:r>
          </w:p>
          <w:p>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（1）</w:t>
            </w:r>
            <w:r>
              <w:rPr>
                <w:rFonts w:ascii="Times New Roman" w:hAnsi="Times New Roman" w:eastAsia="宋体" w:cs="Times New Roman"/>
                <w:b/>
                <w:sz w:val="24"/>
                <w:szCs w:val="24"/>
              </w:rPr>
              <w:t>废气产生、排放基本信息</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项目废气产生、排放基本信息详见表4</w:t>
            </w:r>
            <w:r>
              <w:rPr>
                <w:rFonts w:ascii="Times New Roman" w:hAnsi="Times New Roman" w:eastAsia="宋体" w:cs="Times New Roman"/>
                <w:bCs/>
                <w:sz w:val="24"/>
                <w:szCs w:val="24"/>
              </w:rPr>
              <w:t>-1~3</w:t>
            </w:r>
            <w:r>
              <w:rPr>
                <w:rFonts w:hint="eastAsia" w:ascii="Times New Roman" w:hAnsi="Times New Roman" w:eastAsia="宋体" w:cs="Times New Roman"/>
                <w:bCs/>
                <w:sz w:val="24"/>
                <w:szCs w:val="24"/>
              </w:rPr>
              <w:t>。</w:t>
            </w:r>
          </w:p>
          <w:p>
            <w:pPr>
              <w:spacing w:line="360" w:lineRule="auto"/>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表4</w:t>
            </w:r>
            <w:r>
              <w:rPr>
                <w:rFonts w:ascii="Times New Roman" w:hAnsi="Times New Roman" w:eastAsia="宋体" w:cs="Times New Roman"/>
                <w:b/>
                <w:sz w:val="24"/>
                <w:szCs w:val="24"/>
              </w:rPr>
              <w:t xml:space="preserve">-1 </w:t>
            </w:r>
            <w:r>
              <w:rPr>
                <w:rFonts w:hint="eastAsia" w:ascii="Times New Roman" w:hAnsi="Times New Roman" w:eastAsia="宋体" w:cs="Times New Roman"/>
                <w:b/>
                <w:sz w:val="24"/>
                <w:szCs w:val="24"/>
              </w:rPr>
              <w:t>废气产生情况一览表</w:t>
            </w:r>
          </w:p>
          <w:tbl>
            <w:tblPr>
              <w:tblStyle w:val="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49"/>
              <w:gridCol w:w="1376"/>
              <w:gridCol w:w="1536"/>
              <w:gridCol w:w="1352"/>
              <w:gridCol w:w="1276"/>
              <w:gridCol w:w="13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0" w:type="pct"/>
                  <w:vAlign w:val="center"/>
                </w:tcPr>
                <w:p>
                  <w:pPr>
                    <w:pStyle w:val="23"/>
                    <w:jc w:val="center"/>
                    <w:rPr>
                      <w:rFonts w:cs="Times New Roman"/>
                      <w:b/>
                      <w:bCs/>
                      <w:color w:val="000000"/>
                    </w:rPr>
                  </w:pPr>
                  <w:r>
                    <w:rPr>
                      <w:rFonts w:cs="Times New Roman"/>
                      <w:b/>
                      <w:bCs/>
                      <w:color w:val="000000"/>
                    </w:rPr>
                    <w:t>产排污环节</w:t>
                  </w:r>
                </w:p>
              </w:tc>
              <w:tc>
                <w:tcPr>
                  <w:tcW w:w="809" w:type="pct"/>
                  <w:vAlign w:val="center"/>
                </w:tcPr>
                <w:p>
                  <w:pPr>
                    <w:pStyle w:val="23"/>
                    <w:jc w:val="center"/>
                    <w:rPr>
                      <w:rFonts w:cs="Times New Roman"/>
                      <w:b/>
                      <w:bCs/>
                      <w:color w:val="000000"/>
                    </w:rPr>
                  </w:pPr>
                  <w:r>
                    <w:rPr>
                      <w:rFonts w:cs="Times New Roman"/>
                      <w:b/>
                      <w:bCs/>
                      <w:color w:val="000000"/>
                    </w:rPr>
                    <w:t>污染物种类</w:t>
                  </w:r>
                </w:p>
              </w:tc>
              <w:tc>
                <w:tcPr>
                  <w:tcW w:w="903" w:type="pct"/>
                  <w:vAlign w:val="center"/>
                </w:tcPr>
                <w:p>
                  <w:pPr>
                    <w:pStyle w:val="23"/>
                    <w:jc w:val="center"/>
                    <w:rPr>
                      <w:rFonts w:cs="Times New Roman"/>
                      <w:b/>
                      <w:bCs/>
                      <w:color w:val="000000"/>
                    </w:rPr>
                  </w:pPr>
                  <w:r>
                    <w:rPr>
                      <w:rFonts w:cs="Times New Roman"/>
                      <w:b/>
                      <w:bCs/>
                      <w:color w:val="000000"/>
                    </w:rPr>
                    <w:t>产生系数（t）</w:t>
                  </w:r>
                </w:p>
              </w:tc>
              <w:tc>
                <w:tcPr>
                  <w:tcW w:w="795" w:type="pct"/>
                  <w:vAlign w:val="center"/>
                </w:tcPr>
                <w:p>
                  <w:pPr>
                    <w:pStyle w:val="23"/>
                    <w:jc w:val="center"/>
                    <w:rPr>
                      <w:rFonts w:cs="Times New Roman"/>
                      <w:b/>
                      <w:bCs/>
                      <w:color w:val="000000"/>
                    </w:rPr>
                  </w:pPr>
                  <w:r>
                    <w:rPr>
                      <w:rFonts w:cs="Times New Roman"/>
                      <w:b/>
                      <w:bCs/>
                      <w:color w:val="000000"/>
                    </w:rPr>
                    <w:t>污染物产生量（t/a）</w:t>
                  </w:r>
                </w:p>
              </w:tc>
              <w:tc>
                <w:tcPr>
                  <w:tcW w:w="750" w:type="pct"/>
                  <w:vAlign w:val="center"/>
                </w:tcPr>
                <w:p>
                  <w:pPr>
                    <w:pStyle w:val="23"/>
                    <w:jc w:val="center"/>
                    <w:rPr>
                      <w:rFonts w:cs="Times New Roman"/>
                      <w:b/>
                      <w:bCs/>
                      <w:color w:val="000000"/>
                    </w:rPr>
                  </w:pPr>
                  <w:r>
                    <w:rPr>
                      <w:rFonts w:cs="Times New Roman"/>
                      <w:b/>
                      <w:bCs/>
                      <w:color w:val="000000"/>
                    </w:rPr>
                    <w:t>产生速率（kg/h）</w:t>
                  </w:r>
                </w:p>
              </w:tc>
              <w:tc>
                <w:tcPr>
                  <w:tcW w:w="773" w:type="pct"/>
                  <w:vAlign w:val="center"/>
                </w:tcPr>
                <w:p>
                  <w:pPr>
                    <w:pStyle w:val="23"/>
                    <w:jc w:val="center"/>
                    <w:rPr>
                      <w:rFonts w:cs="Times New Roman"/>
                      <w:b/>
                      <w:bCs/>
                      <w:color w:val="000000"/>
                    </w:rPr>
                  </w:pPr>
                  <w:r>
                    <w:rPr>
                      <w:rFonts w:cs="Times New Roman"/>
                      <w:b/>
                      <w:bCs/>
                      <w:color w:val="000000"/>
                    </w:rPr>
                    <w:t>产生浓度（mg/m³）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0" w:type="pct"/>
                  <w:vAlign w:val="center"/>
                </w:tcPr>
                <w:p>
                  <w:pPr>
                    <w:pStyle w:val="23"/>
                    <w:jc w:val="center"/>
                    <w:rPr>
                      <w:rFonts w:cs="Times New Roman"/>
                      <w:color w:val="000000"/>
                    </w:rPr>
                  </w:pPr>
                  <w:r>
                    <w:rPr>
                      <w:rFonts w:hint="eastAsia" w:cs="Times New Roman"/>
                      <w:bCs/>
                      <w:spacing w:val="-10"/>
                    </w:rPr>
                    <w:t>运输扬尘</w:t>
                  </w:r>
                </w:p>
              </w:tc>
              <w:tc>
                <w:tcPr>
                  <w:tcW w:w="809" w:type="pct"/>
                  <w:vAlign w:val="center"/>
                </w:tcPr>
                <w:p>
                  <w:pPr>
                    <w:pStyle w:val="23"/>
                    <w:jc w:val="center"/>
                    <w:rPr>
                      <w:rFonts w:cs="Times New Roman"/>
                      <w:color w:val="000000"/>
                    </w:rPr>
                  </w:pPr>
                  <w:r>
                    <w:rPr>
                      <w:rFonts w:cs="Times New Roman"/>
                    </w:rPr>
                    <w:t>颗粒物</w:t>
                  </w:r>
                </w:p>
              </w:tc>
              <w:tc>
                <w:tcPr>
                  <w:tcW w:w="903" w:type="pct"/>
                  <w:vAlign w:val="center"/>
                </w:tcPr>
                <w:p>
                  <w:pPr>
                    <w:pStyle w:val="23"/>
                    <w:jc w:val="center"/>
                    <w:rPr>
                      <w:rFonts w:cs="Times New Roman"/>
                      <w:color w:val="000000"/>
                    </w:rPr>
                  </w:pPr>
                  <w:r>
                    <w:rPr>
                      <w:rFonts w:hint="eastAsia" w:cs="Times New Roman"/>
                      <w:bCs/>
                      <w:spacing w:val="-10"/>
                    </w:rPr>
                    <w:t>/</w:t>
                  </w:r>
                </w:p>
              </w:tc>
              <w:tc>
                <w:tcPr>
                  <w:tcW w:w="795" w:type="pct"/>
                  <w:vAlign w:val="center"/>
                </w:tcPr>
                <w:p>
                  <w:pPr>
                    <w:pStyle w:val="23"/>
                    <w:jc w:val="center"/>
                    <w:rPr>
                      <w:rFonts w:cs="Times New Roman"/>
                      <w:color w:val="000000"/>
                    </w:rPr>
                  </w:pPr>
                  <w:r>
                    <w:rPr>
                      <w:rFonts w:hint="eastAsia" w:cs="Times New Roman"/>
                      <w:color w:val="000000"/>
                    </w:rPr>
                    <w:t>0</w:t>
                  </w:r>
                  <w:r>
                    <w:rPr>
                      <w:rFonts w:cs="Times New Roman"/>
                      <w:color w:val="000000"/>
                    </w:rPr>
                    <w:t>.715</w:t>
                  </w:r>
                </w:p>
              </w:tc>
              <w:tc>
                <w:tcPr>
                  <w:tcW w:w="750" w:type="pct"/>
                  <w:vAlign w:val="center"/>
                </w:tcPr>
                <w:p>
                  <w:pPr>
                    <w:pStyle w:val="23"/>
                    <w:jc w:val="center"/>
                    <w:rPr>
                      <w:rFonts w:cs="Times New Roman"/>
                      <w:color w:val="000000"/>
                    </w:rPr>
                  </w:pPr>
                  <w:r>
                    <w:rPr>
                      <w:rFonts w:cs="Times New Roman"/>
                      <w:bCs/>
                      <w:spacing w:val="-10"/>
                    </w:rPr>
                    <w:t>/</w:t>
                  </w:r>
                </w:p>
              </w:tc>
              <w:tc>
                <w:tcPr>
                  <w:tcW w:w="773" w:type="pct"/>
                  <w:vAlign w:val="center"/>
                </w:tcPr>
                <w:p>
                  <w:pPr>
                    <w:pStyle w:val="23"/>
                    <w:jc w:val="center"/>
                    <w:rPr>
                      <w:rFonts w:cs="Times New Roman"/>
                      <w:color w:val="000000"/>
                    </w:rPr>
                  </w:pPr>
                  <w:r>
                    <w:rPr>
                      <w:rFonts w:cs="Times New Roman"/>
                      <w:bCs/>
                      <w:spacing w:val="-1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0" w:type="pct"/>
                  <w:vAlign w:val="center"/>
                </w:tcPr>
                <w:p>
                  <w:pPr>
                    <w:pStyle w:val="23"/>
                    <w:jc w:val="center"/>
                    <w:rPr>
                      <w:rFonts w:cs="Times New Roman"/>
                      <w:color w:val="000000"/>
                    </w:rPr>
                  </w:pPr>
                  <w:r>
                    <w:rPr>
                      <w:rFonts w:cs="Times New Roman"/>
                    </w:rPr>
                    <w:t>装卸扬尘</w:t>
                  </w:r>
                </w:p>
              </w:tc>
              <w:tc>
                <w:tcPr>
                  <w:tcW w:w="809" w:type="pct"/>
                  <w:vAlign w:val="center"/>
                </w:tcPr>
                <w:p>
                  <w:pPr>
                    <w:pStyle w:val="23"/>
                    <w:jc w:val="center"/>
                    <w:rPr>
                      <w:rFonts w:cs="Times New Roman"/>
                      <w:color w:val="000000"/>
                    </w:rPr>
                  </w:pPr>
                  <w:r>
                    <w:rPr>
                      <w:rFonts w:cs="Times New Roman"/>
                    </w:rPr>
                    <w:t>颗粒物</w:t>
                  </w:r>
                </w:p>
              </w:tc>
              <w:tc>
                <w:tcPr>
                  <w:tcW w:w="903" w:type="pct"/>
                  <w:vAlign w:val="center"/>
                </w:tcPr>
                <w:p>
                  <w:pPr>
                    <w:pStyle w:val="23"/>
                    <w:jc w:val="center"/>
                    <w:rPr>
                      <w:rFonts w:cs="Times New Roman"/>
                      <w:color w:val="000000"/>
                    </w:rPr>
                  </w:pPr>
                  <w:r>
                    <w:rPr>
                      <w:rFonts w:cs="Times New Roman"/>
                      <w:bCs/>
                      <w:spacing w:val="-10"/>
                    </w:rPr>
                    <w:t>/</w:t>
                  </w:r>
                </w:p>
              </w:tc>
              <w:tc>
                <w:tcPr>
                  <w:tcW w:w="795" w:type="pct"/>
                  <w:vAlign w:val="center"/>
                </w:tcPr>
                <w:p>
                  <w:pPr>
                    <w:pStyle w:val="23"/>
                    <w:jc w:val="center"/>
                    <w:rPr>
                      <w:rFonts w:cs="Times New Roman"/>
                      <w:color w:val="000000"/>
                    </w:rPr>
                  </w:pPr>
                  <w:r>
                    <w:rPr>
                      <w:rFonts w:hint="eastAsia" w:cs="Times New Roman"/>
                      <w:color w:val="000000"/>
                    </w:rPr>
                    <w:t>2</w:t>
                  </w:r>
                  <w:r>
                    <w:rPr>
                      <w:rFonts w:cs="Times New Roman"/>
                      <w:color w:val="000000"/>
                    </w:rPr>
                    <w:t>.075</w:t>
                  </w:r>
                </w:p>
              </w:tc>
              <w:tc>
                <w:tcPr>
                  <w:tcW w:w="750" w:type="pct"/>
                  <w:vAlign w:val="center"/>
                </w:tcPr>
                <w:p>
                  <w:pPr>
                    <w:pStyle w:val="23"/>
                    <w:jc w:val="center"/>
                    <w:rPr>
                      <w:rFonts w:cs="Times New Roman"/>
                      <w:color w:val="000000"/>
                    </w:rPr>
                  </w:pPr>
                  <w:r>
                    <w:rPr>
                      <w:rFonts w:cs="Times New Roman"/>
                      <w:bCs/>
                      <w:spacing w:val="-10"/>
                    </w:rPr>
                    <w:t>/</w:t>
                  </w:r>
                </w:p>
              </w:tc>
              <w:tc>
                <w:tcPr>
                  <w:tcW w:w="773" w:type="pct"/>
                  <w:vAlign w:val="center"/>
                </w:tcPr>
                <w:p>
                  <w:pPr>
                    <w:pStyle w:val="23"/>
                    <w:jc w:val="center"/>
                    <w:rPr>
                      <w:rFonts w:cs="Times New Roman"/>
                      <w:color w:val="000000"/>
                    </w:rPr>
                  </w:pPr>
                  <w:r>
                    <w:rPr>
                      <w:rFonts w:cs="Times New Roman"/>
                      <w:bCs/>
                      <w:spacing w:val="-1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0" w:type="pct"/>
                  <w:vAlign w:val="center"/>
                </w:tcPr>
                <w:p>
                  <w:pPr>
                    <w:pStyle w:val="23"/>
                    <w:jc w:val="center"/>
                    <w:rPr>
                      <w:rFonts w:cs="Times New Roman"/>
                    </w:rPr>
                  </w:pPr>
                  <w:r>
                    <w:rPr>
                      <w:rFonts w:hint="eastAsia"/>
                    </w:rPr>
                    <w:t>堆煤厂扬尘</w:t>
                  </w:r>
                </w:p>
              </w:tc>
              <w:tc>
                <w:tcPr>
                  <w:tcW w:w="809" w:type="pct"/>
                  <w:vAlign w:val="center"/>
                </w:tcPr>
                <w:p>
                  <w:pPr>
                    <w:pStyle w:val="23"/>
                    <w:jc w:val="center"/>
                    <w:rPr>
                      <w:rFonts w:cs="Times New Roman"/>
                    </w:rPr>
                  </w:pPr>
                  <w:r>
                    <w:rPr>
                      <w:rFonts w:cs="Times New Roman"/>
                    </w:rPr>
                    <w:t>颗粒物</w:t>
                  </w:r>
                </w:p>
              </w:tc>
              <w:tc>
                <w:tcPr>
                  <w:tcW w:w="903" w:type="pct"/>
                  <w:vAlign w:val="center"/>
                </w:tcPr>
                <w:p>
                  <w:pPr>
                    <w:pStyle w:val="23"/>
                    <w:jc w:val="center"/>
                    <w:rPr>
                      <w:rFonts w:cs="Times New Roman"/>
                      <w:bCs/>
                      <w:spacing w:val="-10"/>
                    </w:rPr>
                  </w:pPr>
                  <w:r>
                    <w:rPr>
                      <w:rFonts w:hint="eastAsia" w:cs="Times New Roman"/>
                      <w:bCs/>
                      <w:spacing w:val="-10"/>
                    </w:rPr>
                    <w:t>/</w:t>
                  </w:r>
                </w:p>
              </w:tc>
              <w:tc>
                <w:tcPr>
                  <w:tcW w:w="795" w:type="pct"/>
                  <w:vAlign w:val="center"/>
                </w:tcPr>
                <w:p>
                  <w:pPr>
                    <w:pStyle w:val="23"/>
                    <w:jc w:val="center"/>
                    <w:rPr>
                      <w:rFonts w:cs="Times New Roman"/>
                      <w:bCs/>
                      <w:spacing w:val="-10"/>
                    </w:rPr>
                  </w:pPr>
                  <w:r>
                    <w:rPr>
                      <w:rFonts w:hint="eastAsia" w:cs="Times New Roman"/>
                      <w:bCs/>
                      <w:spacing w:val="-10"/>
                    </w:rPr>
                    <w:t>4</w:t>
                  </w:r>
                  <w:r>
                    <w:rPr>
                      <w:rFonts w:cs="Times New Roman"/>
                      <w:bCs/>
                      <w:spacing w:val="-10"/>
                    </w:rPr>
                    <w:t>.462</w:t>
                  </w:r>
                </w:p>
              </w:tc>
              <w:tc>
                <w:tcPr>
                  <w:tcW w:w="750" w:type="pct"/>
                  <w:vAlign w:val="center"/>
                </w:tcPr>
                <w:p>
                  <w:pPr>
                    <w:pStyle w:val="23"/>
                    <w:jc w:val="center"/>
                    <w:rPr>
                      <w:rFonts w:cs="Times New Roman"/>
                      <w:bCs/>
                      <w:spacing w:val="-10"/>
                    </w:rPr>
                  </w:pPr>
                  <w:r>
                    <w:t>/</w:t>
                  </w:r>
                </w:p>
              </w:tc>
              <w:tc>
                <w:tcPr>
                  <w:tcW w:w="773" w:type="pct"/>
                  <w:vAlign w:val="center"/>
                </w:tcPr>
                <w:p>
                  <w:pPr>
                    <w:pStyle w:val="23"/>
                    <w:jc w:val="center"/>
                    <w:rPr>
                      <w:rFonts w:cs="Times New Roman"/>
                      <w:bCs/>
                      <w:spacing w:val="-10"/>
                    </w:rPr>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0" w:type="pct"/>
                  <w:vAlign w:val="center"/>
                </w:tcPr>
                <w:p>
                  <w:pPr>
                    <w:pStyle w:val="23"/>
                    <w:jc w:val="center"/>
                  </w:pPr>
                  <w:r>
                    <w:rPr>
                      <w:rFonts w:hint="eastAsia"/>
                    </w:rPr>
                    <w:t>车辆尾气</w:t>
                  </w:r>
                </w:p>
              </w:tc>
              <w:tc>
                <w:tcPr>
                  <w:tcW w:w="809" w:type="pct"/>
                  <w:vAlign w:val="center"/>
                </w:tcPr>
                <w:p>
                  <w:pPr>
                    <w:pStyle w:val="23"/>
                    <w:jc w:val="center"/>
                    <w:rPr>
                      <w:rFonts w:cs="Times New Roman"/>
                    </w:rPr>
                  </w:pPr>
                  <w:r>
                    <w:rPr>
                      <w:rFonts w:hint="eastAsia"/>
                      <w:color w:val="000000"/>
                    </w:rPr>
                    <w:t>NOx、CO</w:t>
                  </w:r>
                </w:p>
              </w:tc>
              <w:tc>
                <w:tcPr>
                  <w:tcW w:w="903" w:type="pct"/>
                  <w:vAlign w:val="center"/>
                </w:tcPr>
                <w:p>
                  <w:pPr>
                    <w:pStyle w:val="23"/>
                    <w:jc w:val="center"/>
                    <w:rPr>
                      <w:rFonts w:cs="Times New Roman"/>
                      <w:bCs/>
                      <w:spacing w:val="-10"/>
                    </w:rPr>
                  </w:pPr>
                  <w:r>
                    <w:rPr>
                      <w:rFonts w:hint="eastAsia" w:cs="Times New Roman"/>
                      <w:bCs/>
                      <w:spacing w:val="-10"/>
                    </w:rPr>
                    <w:t>/</w:t>
                  </w:r>
                </w:p>
              </w:tc>
              <w:tc>
                <w:tcPr>
                  <w:tcW w:w="795" w:type="pct"/>
                  <w:vAlign w:val="center"/>
                </w:tcPr>
                <w:p>
                  <w:pPr>
                    <w:pStyle w:val="23"/>
                    <w:jc w:val="center"/>
                    <w:rPr>
                      <w:rFonts w:cs="Times New Roman"/>
                      <w:bCs/>
                      <w:spacing w:val="-10"/>
                    </w:rPr>
                  </w:pPr>
                  <w:r>
                    <w:rPr>
                      <w:rFonts w:hint="eastAsia" w:cs="Times New Roman"/>
                      <w:bCs/>
                      <w:spacing w:val="-10"/>
                    </w:rPr>
                    <w:t>少量</w:t>
                  </w:r>
                </w:p>
              </w:tc>
              <w:tc>
                <w:tcPr>
                  <w:tcW w:w="750" w:type="pct"/>
                  <w:vAlign w:val="center"/>
                </w:tcPr>
                <w:p>
                  <w:pPr>
                    <w:pStyle w:val="23"/>
                    <w:jc w:val="center"/>
                  </w:pPr>
                  <w:r>
                    <w:rPr>
                      <w:rFonts w:hint="eastAsia"/>
                    </w:rPr>
                    <w:t>/</w:t>
                  </w:r>
                </w:p>
              </w:tc>
              <w:tc>
                <w:tcPr>
                  <w:tcW w:w="773" w:type="pct"/>
                  <w:vAlign w:val="center"/>
                </w:tcPr>
                <w:p>
                  <w:pPr>
                    <w:pStyle w:val="23"/>
                    <w:jc w:val="center"/>
                  </w:pPr>
                  <w:r>
                    <w:rPr>
                      <w:rFonts w:hint="eastAsia"/>
                    </w:rPr>
                    <w:t>/</w:t>
                  </w:r>
                </w:p>
              </w:tc>
            </w:tr>
          </w:tbl>
          <w:p>
            <w:pPr>
              <w:spacing w:line="360" w:lineRule="auto"/>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表4</w:t>
            </w:r>
            <w:r>
              <w:rPr>
                <w:rFonts w:ascii="Times New Roman" w:hAnsi="Times New Roman" w:eastAsia="宋体" w:cs="Times New Roman"/>
                <w:b/>
                <w:sz w:val="24"/>
                <w:szCs w:val="24"/>
              </w:rPr>
              <w:t>-2废气治理设施情况一览表</w:t>
            </w:r>
          </w:p>
          <w:tbl>
            <w:tblPr>
              <w:tblStyle w:val="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508"/>
              <w:gridCol w:w="672"/>
              <w:gridCol w:w="2233"/>
              <w:gridCol w:w="1252"/>
              <w:gridCol w:w="585"/>
              <w:gridCol w:w="585"/>
              <w:gridCol w:w="711"/>
              <w:gridCol w:w="9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jc w:val="center"/>
              </w:trPr>
              <w:tc>
                <w:tcPr>
                  <w:tcW w:w="887" w:type="pct"/>
                  <w:vMerge w:val="restart"/>
                  <w:vAlign w:val="center"/>
                </w:tcPr>
                <w:p>
                  <w:pPr>
                    <w:pStyle w:val="23"/>
                    <w:jc w:val="center"/>
                    <w:rPr>
                      <w:b/>
                      <w:bCs/>
                    </w:rPr>
                  </w:pPr>
                  <w:r>
                    <w:rPr>
                      <w:b/>
                      <w:bCs/>
                    </w:rPr>
                    <w:t>产排污环节</w:t>
                  </w:r>
                </w:p>
              </w:tc>
              <w:tc>
                <w:tcPr>
                  <w:tcW w:w="395" w:type="pct"/>
                  <w:vMerge w:val="restart"/>
                  <w:vAlign w:val="center"/>
                </w:tcPr>
                <w:p>
                  <w:pPr>
                    <w:pStyle w:val="23"/>
                    <w:jc w:val="center"/>
                    <w:rPr>
                      <w:b/>
                      <w:bCs/>
                    </w:rPr>
                  </w:pPr>
                  <w:r>
                    <w:rPr>
                      <w:b/>
                      <w:bCs/>
                    </w:rPr>
                    <w:t>污染物种类</w:t>
                  </w:r>
                </w:p>
              </w:tc>
              <w:tc>
                <w:tcPr>
                  <w:tcW w:w="3718" w:type="pct"/>
                  <w:gridSpan w:val="6"/>
                  <w:vAlign w:val="center"/>
                </w:tcPr>
                <w:p>
                  <w:pPr>
                    <w:pStyle w:val="23"/>
                    <w:jc w:val="center"/>
                    <w:rPr>
                      <w:b/>
                      <w:bCs/>
                    </w:rPr>
                  </w:pPr>
                  <w:r>
                    <w:rPr>
                      <w:b/>
                      <w:bCs/>
                    </w:rPr>
                    <w:t>污染治理设施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jc w:val="center"/>
              </w:trPr>
              <w:tc>
                <w:tcPr>
                  <w:tcW w:w="887" w:type="pct"/>
                  <w:vMerge w:val="continue"/>
                  <w:vAlign w:val="center"/>
                </w:tcPr>
                <w:p>
                  <w:pPr>
                    <w:pStyle w:val="23"/>
                    <w:jc w:val="center"/>
                    <w:rPr>
                      <w:b/>
                      <w:bCs/>
                    </w:rPr>
                  </w:pPr>
                </w:p>
              </w:tc>
              <w:tc>
                <w:tcPr>
                  <w:tcW w:w="395" w:type="pct"/>
                  <w:vMerge w:val="continue"/>
                  <w:vAlign w:val="center"/>
                </w:tcPr>
                <w:p>
                  <w:pPr>
                    <w:pStyle w:val="23"/>
                    <w:jc w:val="center"/>
                    <w:rPr>
                      <w:b/>
                      <w:bCs/>
                    </w:rPr>
                  </w:pPr>
                </w:p>
              </w:tc>
              <w:tc>
                <w:tcPr>
                  <w:tcW w:w="1313" w:type="pct"/>
                  <w:vAlign w:val="center"/>
                </w:tcPr>
                <w:p>
                  <w:pPr>
                    <w:pStyle w:val="23"/>
                    <w:jc w:val="center"/>
                    <w:rPr>
                      <w:b/>
                      <w:bCs/>
                    </w:rPr>
                  </w:pPr>
                  <w:r>
                    <w:rPr>
                      <w:b/>
                      <w:bCs/>
                    </w:rPr>
                    <w:t>污染治理设施工艺</w:t>
                  </w:r>
                </w:p>
              </w:tc>
              <w:tc>
                <w:tcPr>
                  <w:tcW w:w="736" w:type="pct"/>
                  <w:vAlign w:val="center"/>
                </w:tcPr>
                <w:p>
                  <w:pPr>
                    <w:pStyle w:val="23"/>
                    <w:jc w:val="center"/>
                    <w:rPr>
                      <w:b/>
                      <w:bCs/>
                    </w:rPr>
                  </w:pPr>
                  <w:r>
                    <w:rPr>
                      <w:rFonts w:hint="eastAsia"/>
                      <w:b/>
                      <w:bCs/>
                    </w:rPr>
                    <w:t>处理能力</w:t>
                  </w:r>
                  <w:r>
                    <w:rPr>
                      <w:b/>
                      <w:bCs/>
                    </w:rPr>
                    <w:t>（</w:t>
                  </w:r>
                  <w:r>
                    <w:rPr>
                      <w:rFonts w:hint="eastAsia"/>
                      <w:b/>
                      <w:bCs/>
                    </w:rPr>
                    <w:t>m³</w:t>
                  </w:r>
                  <w:r>
                    <w:rPr>
                      <w:b/>
                      <w:bCs/>
                    </w:rPr>
                    <w:t>/h）</w:t>
                  </w:r>
                </w:p>
              </w:tc>
              <w:tc>
                <w:tcPr>
                  <w:tcW w:w="344" w:type="pct"/>
                  <w:vAlign w:val="center"/>
                </w:tcPr>
                <w:p>
                  <w:pPr>
                    <w:pStyle w:val="23"/>
                    <w:jc w:val="center"/>
                    <w:rPr>
                      <w:b/>
                      <w:bCs/>
                    </w:rPr>
                  </w:pPr>
                  <w:r>
                    <w:rPr>
                      <w:rFonts w:hint="eastAsia"/>
                      <w:b/>
                      <w:bCs/>
                    </w:rPr>
                    <w:t>收集效率</w:t>
                  </w:r>
                </w:p>
              </w:tc>
              <w:tc>
                <w:tcPr>
                  <w:tcW w:w="344" w:type="pct"/>
                  <w:vAlign w:val="center"/>
                </w:tcPr>
                <w:p>
                  <w:pPr>
                    <w:pStyle w:val="23"/>
                    <w:jc w:val="center"/>
                    <w:rPr>
                      <w:b/>
                      <w:bCs/>
                    </w:rPr>
                  </w:pPr>
                  <w:r>
                    <w:rPr>
                      <w:b/>
                      <w:bCs/>
                    </w:rPr>
                    <w:t>处理效率</w:t>
                  </w:r>
                </w:p>
              </w:tc>
              <w:tc>
                <w:tcPr>
                  <w:tcW w:w="418" w:type="pct"/>
                  <w:vAlign w:val="center"/>
                </w:tcPr>
                <w:p>
                  <w:pPr>
                    <w:pStyle w:val="23"/>
                    <w:jc w:val="center"/>
                    <w:rPr>
                      <w:b/>
                      <w:bCs/>
                    </w:rPr>
                  </w:pPr>
                  <w:r>
                    <w:rPr>
                      <w:b/>
                      <w:bCs/>
                    </w:rPr>
                    <w:t>是否为可行技术</w:t>
                  </w:r>
                </w:p>
              </w:tc>
              <w:tc>
                <w:tcPr>
                  <w:tcW w:w="563" w:type="pct"/>
                  <w:vAlign w:val="center"/>
                </w:tcPr>
                <w:p>
                  <w:pPr>
                    <w:pStyle w:val="23"/>
                    <w:jc w:val="center"/>
                    <w:rPr>
                      <w:b/>
                      <w:bCs/>
                    </w:rPr>
                  </w:pPr>
                  <w:r>
                    <w:rPr>
                      <w:b/>
                      <w:bCs/>
                    </w:rPr>
                    <w:t>污染治理设施其他信息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jc w:val="center"/>
              </w:trPr>
              <w:tc>
                <w:tcPr>
                  <w:tcW w:w="887" w:type="pct"/>
                  <w:vAlign w:val="center"/>
                </w:tcPr>
                <w:p>
                  <w:pPr>
                    <w:pStyle w:val="23"/>
                    <w:jc w:val="center"/>
                  </w:pPr>
                  <w:r>
                    <w:rPr>
                      <w:rFonts w:hint="eastAsia" w:cs="Times New Roman"/>
                      <w:bCs/>
                      <w:spacing w:val="-10"/>
                    </w:rPr>
                    <w:t>运输扬尘</w:t>
                  </w:r>
                </w:p>
              </w:tc>
              <w:tc>
                <w:tcPr>
                  <w:tcW w:w="395" w:type="pct"/>
                  <w:vAlign w:val="center"/>
                </w:tcPr>
                <w:p>
                  <w:pPr>
                    <w:pStyle w:val="23"/>
                    <w:jc w:val="center"/>
                  </w:pPr>
                  <w:r>
                    <w:rPr>
                      <w:rFonts w:cs="Times New Roman"/>
                    </w:rPr>
                    <w:t>颗粒物</w:t>
                  </w:r>
                </w:p>
              </w:tc>
              <w:tc>
                <w:tcPr>
                  <w:tcW w:w="1313" w:type="pct"/>
                  <w:vAlign w:val="center"/>
                </w:tcPr>
                <w:p>
                  <w:pPr>
                    <w:pStyle w:val="23"/>
                    <w:jc w:val="center"/>
                  </w:pPr>
                  <w:r>
                    <w:rPr>
                      <w:rFonts w:hint="eastAsia"/>
                      <w:color w:val="000000"/>
                    </w:rPr>
                    <w:t>车辆轮胎清洗+洒水降尘</w:t>
                  </w:r>
                  <w:r>
                    <w:rPr>
                      <w:rFonts w:hint="eastAsia"/>
                    </w:rPr>
                    <w:t>+运输加盖篷布</w:t>
                  </w:r>
                </w:p>
              </w:tc>
              <w:tc>
                <w:tcPr>
                  <w:tcW w:w="736" w:type="pct"/>
                  <w:vAlign w:val="center"/>
                </w:tcPr>
                <w:p>
                  <w:pPr>
                    <w:pStyle w:val="23"/>
                    <w:jc w:val="center"/>
                  </w:pPr>
                  <w:r>
                    <w:t>/</w:t>
                  </w:r>
                </w:p>
              </w:tc>
              <w:tc>
                <w:tcPr>
                  <w:tcW w:w="344" w:type="pct"/>
                  <w:vAlign w:val="center"/>
                </w:tcPr>
                <w:p>
                  <w:pPr>
                    <w:pStyle w:val="23"/>
                    <w:jc w:val="center"/>
                  </w:pPr>
                  <w:r>
                    <w:t>/</w:t>
                  </w:r>
                </w:p>
              </w:tc>
              <w:tc>
                <w:tcPr>
                  <w:tcW w:w="344" w:type="pct"/>
                  <w:vAlign w:val="center"/>
                </w:tcPr>
                <w:p>
                  <w:pPr>
                    <w:pStyle w:val="23"/>
                    <w:jc w:val="center"/>
                  </w:pPr>
                  <w:r>
                    <w:t>80</w:t>
                  </w:r>
                  <w:r>
                    <w:rPr>
                      <w:rFonts w:hint="eastAsia"/>
                    </w:rPr>
                    <w:t>%</w:t>
                  </w:r>
                </w:p>
              </w:tc>
              <w:tc>
                <w:tcPr>
                  <w:tcW w:w="418" w:type="pct"/>
                  <w:vAlign w:val="center"/>
                </w:tcPr>
                <w:p>
                  <w:pPr>
                    <w:pStyle w:val="23"/>
                    <w:jc w:val="center"/>
                  </w:pPr>
                  <w:r>
                    <w:rPr>
                      <w:rFonts w:hint="eastAsia"/>
                    </w:rPr>
                    <w:t>是</w:t>
                  </w:r>
                </w:p>
              </w:tc>
              <w:tc>
                <w:tcPr>
                  <w:tcW w:w="563" w:type="pct"/>
                  <w:vAlign w:val="center"/>
                </w:tcPr>
                <w:p>
                  <w:pPr>
                    <w:pStyle w:val="23"/>
                    <w:jc w:val="center"/>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jc w:val="center"/>
              </w:trPr>
              <w:tc>
                <w:tcPr>
                  <w:tcW w:w="887" w:type="pct"/>
                  <w:vAlign w:val="center"/>
                </w:tcPr>
                <w:p>
                  <w:pPr>
                    <w:pStyle w:val="23"/>
                    <w:jc w:val="center"/>
                    <w:rPr>
                      <w:color w:val="000000"/>
                    </w:rPr>
                  </w:pPr>
                  <w:r>
                    <w:rPr>
                      <w:rFonts w:cs="Times New Roman"/>
                    </w:rPr>
                    <w:t>装卸扬尘</w:t>
                  </w:r>
                </w:p>
              </w:tc>
              <w:tc>
                <w:tcPr>
                  <w:tcW w:w="395" w:type="pct"/>
                  <w:vAlign w:val="center"/>
                </w:tcPr>
                <w:p>
                  <w:pPr>
                    <w:pStyle w:val="23"/>
                    <w:jc w:val="center"/>
                  </w:pPr>
                  <w:r>
                    <w:rPr>
                      <w:rFonts w:cs="Times New Roman"/>
                    </w:rPr>
                    <w:t>颗粒物</w:t>
                  </w:r>
                </w:p>
              </w:tc>
              <w:tc>
                <w:tcPr>
                  <w:tcW w:w="1313" w:type="pct"/>
                  <w:vAlign w:val="center"/>
                </w:tcPr>
                <w:p>
                  <w:pPr>
                    <w:pStyle w:val="23"/>
                    <w:jc w:val="center"/>
                  </w:pPr>
                  <w:r>
                    <w:rPr>
                      <w:rFonts w:hint="eastAsia"/>
                    </w:rPr>
                    <w:t>洒水降尘</w:t>
                  </w:r>
                </w:p>
              </w:tc>
              <w:tc>
                <w:tcPr>
                  <w:tcW w:w="736" w:type="pct"/>
                  <w:vAlign w:val="center"/>
                </w:tcPr>
                <w:p>
                  <w:pPr>
                    <w:pStyle w:val="23"/>
                    <w:jc w:val="center"/>
                  </w:pPr>
                  <w:r>
                    <w:t>/</w:t>
                  </w:r>
                </w:p>
              </w:tc>
              <w:tc>
                <w:tcPr>
                  <w:tcW w:w="344" w:type="pct"/>
                  <w:vAlign w:val="center"/>
                </w:tcPr>
                <w:p>
                  <w:pPr>
                    <w:pStyle w:val="23"/>
                    <w:jc w:val="center"/>
                  </w:pPr>
                  <w:r>
                    <w:t>/</w:t>
                  </w:r>
                </w:p>
              </w:tc>
              <w:tc>
                <w:tcPr>
                  <w:tcW w:w="344" w:type="pct"/>
                  <w:vAlign w:val="center"/>
                </w:tcPr>
                <w:p>
                  <w:pPr>
                    <w:pStyle w:val="23"/>
                    <w:jc w:val="center"/>
                  </w:pPr>
                  <w:r>
                    <w:t>80</w:t>
                  </w:r>
                  <w:r>
                    <w:rPr>
                      <w:rFonts w:hint="eastAsia"/>
                    </w:rPr>
                    <w:t>%</w:t>
                  </w:r>
                </w:p>
              </w:tc>
              <w:tc>
                <w:tcPr>
                  <w:tcW w:w="418" w:type="pct"/>
                  <w:vAlign w:val="center"/>
                </w:tcPr>
                <w:p>
                  <w:pPr>
                    <w:pStyle w:val="23"/>
                    <w:jc w:val="center"/>
                  </w:pPr>
                  <w:r>
                    <w:rPr>
                      <w:rFonts w:hint="eastAsia"/>
                    </w:rPr>
                    <w:t>是</w:t>
                  </w:r>
                </w:p>
              </w:tc>
              <w:tc>
                <w:tcPr>
                  <w:tcW w:w="563" w:type="pct"/>
                  <w:vAlign w:val="center"/>
                </w:tcPr>
                <w:p>
                  <w:pPr>
                    <w:pStyle w:val="23"/>
                    <w:jc w:val="center"/>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jc w:val="center"/>
              </w:trPr>
              <w:tc>
                <w:tcPr>
                  <w:tcW w:w="887" w:type="pct"/>
                  <w:vAlign w:val="center"/>
                </w:tcPr>
                <w:p>
                  <w:pPr>
                    <w:pStyle w:val="23"/>
                    <w:jc w:val="center"/>
                    <w:rPr>
                      <w:rFonts w:cs="Times New Roman"/>
                    </w:rPr>
                  </w:pPr>
                  <w:r>
                    <w:rPr>
                      <w:rFonts w:hint="eastAsia"/>
                    </w:rPr>
                    <w:t>堆煤厂扬尘</w:t>
                  </w:r>
                </w:p>
              </w:tc>
              <w:tc>
                <w:tcPr>
                  <w:tcW w:w="395" w:type="pct"/>
                  <w:vAlign w:val="center"/>
                </w:tcPr>
                <w:p>
                  <w:pPr>
                    <w:pStyle w:val="23"/>
                    <w:jc w:val="center"/>
                    <w:rPr>
                      <w:rFonts w:cs="Times New Roman"/>
                    </w:rPr>
                  </w:pPr>
                  <w:r>
                    <w:rPr>
                      <w:rFonts w:cs="Times New Roman"/>
                    </w:rPr>
                    <w:t>颗粒物</w:t>
                  </w:r>
                </w:p>
              </w:tc>
              <w:tc>
                <w:tcPr>
                  <w:tcW w:w="1313" w:type="pct"/>
                  <w:vAlign w:val="center"/>
                </w:tcPr>
                <w:p>
                  <w:pPr>
                    <w:pStyle w:val="23"/>
                    <w:jc w:val="center"/>
                  </w:pPr>
                  <w:r>
                    <w:rPr>
                      <w:rFonts w:hint="eastAsia"/>
                    </w:rPr>
                    <w:t>四面围挡+洒水降尘</w:t>
                  </w:r>
                </w:p>
              </w:tc>
              <w:tc>
                <w:tcPr>
                  <w:tcW w:w="736" w:type="pct"/>
                  <w:vAlign w:val="center"/>
                </w:tcPr>
                <w:p>
                  <w:pPr>
                    <w:pStyle w:val="23"/>
                    <w:jc w:val="center"/>
                  </w:pPr>
                  <w:r>
                    <w:t>/</w:t>
                  </w:r>
                </w:p>
              </w:tc>
              <w:tc>
                <w:tcPr>
                  <w:tcW w:w="344" w:type="pct"/>
                  <w:vAlign w:val="center"/>
                </w:tcPr>
                <w:p>
                  <w:pPr>
                    <w:pStyle w:val="23"/>
                    <w:jc w:val="center"/>
                  </w:pPr>
                  <w:r>
                    <w:t>/</w:t>
                  </w:r>
                </w:p>
              </w:tc>
              <w:tc>
                <w:tcPr>
                  <w:tcW w:w="344" w:type="pct"/>
                  <w:vAlign w:val="center"/>
                </w:tcPr>
                <w:p>
                  <w:pPr>
                    <w:pStyle w:val="23"/>
                    <w:jc w:val="center"/>
                  </w:pPr>
                  <w:r>
                    <w:t>80</w:t>
                  </w:r>
                  <w:r>
                    <w:rPr>
                      <w:rFonts w:hint="eastAsia"/>
                    </w:rPr>
                    <w:t>%</w:t>
                  </w:r>
                </w:p>
              </w:tc>
              <w:tc>
                <w:tcPr>
                  <w:tcW w:w="418" w:type="pct"/>
                  <w:vAlign w:val="center"/>
                </w:tcPr>
                <w:p>
                  <w:pPr>
                    <w:pStyle w:val="23"/>
                    <w:jc w:val="center"/>
                  </w:pPr>
                  <w:r>
                    <w:rPr>
                      <w:rFonts w:hint="eastAsia"/>
                    </w:rPr>
                    <w:t>是</w:t>
                  </w:r>
                </w:p>
              </w:tc>
              <w:tc>
                <w:tcPr>
                  <w:tcW w:w="563" w:type="pct"/>
                  <w:vAlign w:val="center"/>
                </w:tcPr>
                <w:p>
                  <w:pPr>
                    <w:pStyle w:val="23"/>
                    <w:jc w:val="center"/>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jc w:val="center"/>
              </w:trPr>
              <w:tc>
                <w:tcPr>
                  <w:tcW w:w="887" w:type="pct"/>
                  <w:vAlign w:val="center"/>
                </w:tcPr>
                <w:p>
                  <w:pPr>
                    <w:pStyle w:val="23"/>
                    <w:jc w:val="center"/>
                  </w:pPr>
                  <w:r>
                    <w:rPr>
                      <w:rFonts w:hint="eastAsia"/>
                    </w:rPr>
                    <w:t>车辆尾气</w:t>
                  </w:r>
                </w:p>
              </w:tc>
              <w:tc>
                <w:tcPr>
                  <w:tcW w:w="395" w:type="pct"/>
                  <w:vAlign w:val="center"/>
                </w:tcPr>
                <w:p>
                  <w:pPr>
                    <w:pStyle w:val="23"/>
                    <w:jc w:val="center"/>
                    <w:rPr>
                      <w:rFonts w:cs="Times New Roman"/>
                    </w:rPr>
                  </w:pPr>
                  <w:r>
                    <w:rPr>
                      <w:rFonts w:hint="eastAsia"/>
                      <w:color w:val="000000"/>
                    </w:rPr>
                    <w:t>NOx、CO</w:t>
                  </w:r>
                </w:p>
              </w:tc>
              <w:tc>
                <w:tcPr>
                  <w:tcW w:w="1313" w:type="pct"/>
                  <w:vAlign w:val="center"/>
                </w:tcPr>
                <w:p>
                  <w:pPr>
                    <w:pStyle w:val="23"/>
                    <w:jc w:val="center"/>
                  </w:pPr>
                  <w:r>
                    <w:rPr>
                      <w:rFonts w:hint="eastAsia"/>
                    </w:rPr>
                    <w:t>/</w:t>
                  </w:r>
                </w:p>
              </w:tc>
              <w:tc>
                <w:tcPr>
                  <w:tcW w:w="736" w:type="pct"/>
                  <w:vAlign w:val="center"/>
                </w:tcPr>
                <w:p>
                  <w:pPr>
                    <w:pStyle w:val="23"/>
                    <w:jc w:val="center"/>
                  </w:pPr>
                  <w:r>
                    <w:rPr>
                      <w:rFonts w:hint="eastAsia"/>
                    </w:rPr>
                    <w:t>/</w:t>
                  </w:r>
                </w:p>
              </w:tc>
              <w:tc>
                <w:tcPr>
                  <w:tcW w:w="344" w:type="pct"/>
                  <w:vAlign w:val="center"/>
                </w:tcPr>
                <w:p>
                  <w:pPr>
                    <w:pStyle w:val="23"/>
                    <w:jc w:val="center"/>
                  </w:pPr>
                  <w:r>
                    <w:rPr>
                      <w:rFonts w:hint="eastAsia"/>
                    </w:rPr>
                    <w:t>/</w:t>
                  </w:r>
                </w:p>
              </w:tc>
              <w:tc>
                <w:tcPr>
                  <w:tcW w:w="344" w:type="pct"/>
                  <w:vAlign w:val="center"/>
                </w:tcPr>
                <w:p>
                  <w:pPr>
                    <w:pStyle w:val="23"/>
                    <w:jc w:val="center"/>
                  </w:pPr>
                  <w:r>
                    <w:rPr>
                      <w:rFonts w:hint="eastAsia"/>
                    </w:rPr>
                    <w:t>/</w:t>
                  </w:r>
                </w:p>
              </w:tc>
              <w:tc>
                <w:tcPr>
                  <w:tcW w:w="418" w:type="pct"/>
                  <w:vAlign w:val="center"/>
                </w:tcPr>
                <w:p>
                  <w:pPr>
                    <w:pStyle w:val="23"/>
                    <w:jc w:val="center"/>
                  </w:pPr>
                  <w:r>
                    <w:rPr>
                      <w:rFonts w:hint="eastAsia"/>
                    </w:rPr>
                    <w:t>/</w:t>
                  </w:r>
                </w:p>
              </w:tc>
              <w:tc>
                <w:tcPr>
                  <w:tcW w:w="563" w:type="pct"/>
                  <w:vAlign w:val="center"/>
                </w:tcPr>
                <w:p>
                  <w:pPr>
                    <w:pStyle w:val="23"/>
                    <w:jc w:val="center"/>
                  </w:pPr>
                  <w:r>
                    <w:rPr>
                      <w:rFonts w:hint="eastAsia"/>
                    </w:rPr>
                    <w:t>/</w:t>
                  </w:r>
                </w:p>
              </w:tc>
            </w:tr>
          </w:tbl>
          <w:p>
            <w:pPr>
              <w:spacing w:line="360" w:lineRule="auto"/>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表4</w:t>
            </w:r>
            <w:r>
              <w:rPr>
                <w:rFonts w:ascii="Times New Roman" w:hAnsi="Times New Roman" w:eastAsia="宋体" w:cs="Times New Roman"/>
                <w:b/>
                <w:sz w:val="24"/>
                <w:szCs w:val="24"/>
              </w:rPr>
              <w:t xml:space="preserve">-3 </w:t>
            </w:r>
            <w:r>
              <w:rPr>
                <w:rFonts w:hint="eastAsia" w:ascii="Times New Roman" w:hAnsi="Times New Roman" w:eastAsia="宋体" w:cs="Times New Roman"/>
                <w:b/>
                <w:sz w:val="24"/>
                <w:szCs w:val="24"/>
              </w:rPr>
              <w:t>废气排放情况一览表</w:t>
            </w:r>
          </w:p>
          <w:tbl>
            <w:tblPr>
              <w:tblStyle w:val="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57"/>
              <w:gridCol w:w="1140"/>
              <w:gridCol w:w="1456"/>
              <w:gridCol w:w="1418"/>
              <w:gridCol w:w="1418"/>
              <w:gridCol w:w="14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4" w:type="pct"/>
                  <w:vAlign w:val="center"/>
                </w:tcPr>
                <w:p>
                  <w:pPr>
                    <w:pStyle w:val="23"/>
                    <w:jc w:val="center"/>
                    <w:rPr>
                      <w:b/>
                      <w:bCs/>
                    </w:rPr>
                  </w:pPr>
                  <w:r>
                    <w:rPr>
                      <w:rFonts w:hint="eastAsia"/>
                      <w:b/>
                      <w:bCs/>
                    </w:rPr>
                    <w:t>产排污环节</w:t>
                  </w:r>
                </w:p>
              </w:tc>
              <w:tc>
                <w:tcPr>
                  <w:tcW w:w="670" w:type="pct"/>
                  <w:vAlign w:val="center"/>
                </w:tcPr>
                <w:p>
                  <w:pPr>
                    <w:pStyle w:val="23"/>
                    <w:jc w:val="center"/>
                    <w:rPr>
                      <w:b/>
                      <w:bCs/>
                    </w:rPr>
                  </w:pPr>
                  <w:r>
                    <w:rPr>
                      <w:rFonts w:hint="eastAsia"/>
                      <w:b/>
                      <w:bCs/>
                    </w:rPr>
                    <w:t>排放形式</w:t>
                  </w:r>
                </w:p>
              </w:tc>
              <w:tc>
                <w:tcPr>
                  <w:tcW w:w="856" w:type="pct"/>
                  <w:vAlign w:val="center"/>
                </w:tcPr>
                <w:p>
                  <w:pPr>
                    <w:pStyle w:val="23"/>
                    <w:jc w:val="center"/>
                    <w:rPr>
                      <w:b/>
                      <w:bCs/>
                    </w:rPr>
                  </w:pPr>
                  <w:r>
                    <w:rPr>
                      <w:rFonts w:hint="eastAsia"/>
                      <w:b/>
                      <w:bCs/>
                    </w:rPr>
                    <w:t>污染物</w:t>
                  </w:r>
                  <w:r>
                    <w:rPr>
                      <w:b/>
                      <w:bCs/>
                    </w:rPr>
                    <w:t>种类</w:t>
                  </w:r>
                </w:p>
              </w:tc>
              <w:tc>
                <w:tcPr>
                  <w:tcW w:w="834" w:type="pct"/>
                  <w:vAlign w:val="center"/>
                </w:tcPr>
                <w:p>
                  <w:pPr>
                    <w:pStyle w:val="23"/>
                    <w:jc w:val="center"/>
                    <w:rPr>
                      <w:b/>
                      <w:bCs/>
                    </w:rPr>
                  </w:pPr>
                  <w:r>
                    <w:rPr>
                      <w:rFonts w:hint="eastAsia"/>
                      <w:b/>
                      <w:bCs/>
                    </w:rPr>
                    <w:t>污染物排放量（t/a）</w:t>
                  </w:r>
                </w:p>
              </w:tc>
              <w:tc>
                <w:tcPr>
                  <w:tcW w:w="834" w:type="pct"/>
                  <w:vAlign w:val="center"/>
                </w:tcPr>
                <w:p>
                  <w:pPr>
                    <w:pStyle w:val="23"/>
                    <w:jc w:val="center"/>
                    <w:rPr>
                      <w:b/>
                      <w:bCs/>
                    </w:rPr>
                  </w:pPr>
                  <w:r>
                    <w:rPr>
                      <w:rFonts w:hint="eastAsia"/>
                      <w:b/>
                      <w:bCs/>
                    </w:rPr>
                    <w:t>排放</w:t>
                  </w:r>
                  <w:r>
                    <w:rPr>
                      <w:b/>
                      <w:bCs/>
                    </w:rPr>
                    <w:t>速率</w:t>
                  </w:r>
                  <w:r>
                    <w:rPr>
                      <w:rFonts w:hint="eastAsia"/>
                      <w:b/>
                      <w:bCs/>
                    </w:rPr>
                    <w:t>（kg</w:t>
                  </w:r>
                  <w:r>
                    <w:rPr>
                      <w:b/>
                      <w:bCs/>
                    </w:rPr>
                    <w:t>/h</w:t>
                  </w:r>
                  <w:r>
                    <w:rPr>
                      <w:rFonts w:hint="eastAsia"/>
                      <w:b/>
                      <w:bCs/>
                    </w:rPr>
                    <w:t>）</w:t>
                  </w:r>
                </w:p>
              </w:tc>
              <w:tc>
                <w:tcPr>
                  <w:tcW w:w="832" w:type="pct"/>
                  <w:vAlign w:val="center"/>
                </w:tcPr>
                <w:p>
                  <w:pPr>
                    <w:pStyle w:val="23"/>
                    <w:jc w:val="center"/>
                    <w:rPr>
                      <w:b/>
                      <w:bCs/>
                    </w:rPr>
                  </w:pPr>
                  <w:r>
                    <w:rPr>
                      <w:rFonts w:hint="eastAsia"/>
                      <w:b/>
                      <w:bCs/>
                    </w:rPr>
                    <w:t>排放浓度（</w:t>
                  </w:r>
                  <w:r>
                    <w:rPr>
                      <w:b/>
                      <w:bCs/>
                    </w:rPr>
                    <w:t>mg/m³</w:t>
                  </w:r>
                  <w:r>
                    <w:rPr>
                      <w:rFonts w:hint="eastAsia"/>
                      <w:b/>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4" w:type="pct"/>
                  <w:vAlign w:val="center"/>
                </w:tcPr>
                <w:p>
                  <w:pPr>
                    <w:pStyle w:val="23"/>
                    <w:jc w:val="center"/>
                  </w:pPr>
                  <w:r>
                    <w:rPr>
                      <w:rFonts w:hint="eastAsia" w:cs="Times New Roman"/>
                      <w:bCs/>
                      <w:spacing w:val="-10"/>
                    </w:rPr>
                    <w:t>运输扬尘</w:t>
                  </w:r>
                </w:p>
              </w:tc>
              <w:tc>
                <w:tcPr>
                  <w:tcW w:w="670" w:type="pct"/>
                  <w:vAlign w:val="center"/>
                </w:tcPr>
                <w:p>
                  <w:pPr>
                    <w:pStyle w:val="23"/>
                    <w:jc w:val="center"/>
                  </w:pPr>
                  <w:r>
                    <w:rPr>
                      <w:rFonts w:hint="eastAsia"/>
                    </w:rPr>
                    <w:t>无组织</w:t>
                  </w:r>
                </w:p>
              </w:tc>
              <w:tc>
                <w:tcPr>
                  <w:tcW w:w="856" w:type="pct"/>
                  <w:vAlign w:val="center"/>
                </w:tcPr>
                <w:p>
                  <w:pPr>
                    <w:pStyle w:val="23"/>
                    <w:jc w:val="center"/>
                  </w:pPr>
                  <w:r>
                    <w:t>颗粒物</w:t>
                  </w:r>
                </w:p>
              </w:tc>
              <w:tc>
                <w:tcPr>
                  <w:tcW w:w="834" w:type="pct"/>
                  <w:vAlign w:val="center"/>
                </w:tcPr>
                <w:p>
                  <w:pPr>
                    <w:pStyle w:val="23"/>
                    <w:jc w:val="center"/>
                  </w:pPr>
                  <w:r>
                    <w:rPr>
                      <w:rFonts w:hint="eastAsia"/>
                    </w:rPr>
                    <w:t>0</w:t>
                  </w:r>
                  <w:r>
                    <w:t>.143</w:t>
                  </w:r>
                </w:p>
              </w:tc>
              <w:tc>
                <w:tcPr>
                  <w:tcW w:w="834" w:type="pct"/>
                  <w:vAlign w:val="center"/>
                </w:tcPr>
                <w:p>
                  <w:pPr>
                    <w:pStyle w:val="23"/>
                    <w:jc w:val="center"/>
                  </w:pPr>
                  <w:r>
                    <w:t>/</w:t>
                  </w:r>
                </w:p>
              </w:tc>
              <w:tc>
                <w:tcPr>
                  <w:tcW w:w="832" w:type="pct"/>
                  <w:vAlign w:val="center"/>
                </w:tcPr>
                <w:p>
                  <w:pPr>
                    <w:pStyle w:val="23"/>
                    <w:jc w:val="center"/>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4" w:type="pct"/>
                  <w:vAlign w:val="center"/>
                </w:tcPr>
                <w:p>
                  <w:pPr>
                    <w:pStyle w:val="23"/>
                    <w:jc w:val="center"/>
                  </w:pPr>
                  <w:r>
                    <w:rPr>
                      <w:rFonts w:cs="Times New Roman"/>
                    </w:rPr>
                    <w:t>装卸扬尘</w:t>
                  </w:r>
                </w:p>
              </w:tc>
              <w:tc>
                <w:tcPr>
                  <w:tcW w:w="670" w:type="pct"/>
                  <w:vAlign w:val="center"/>
                </w:tcPr>
                <w:p>
                  <w:pPr>
                    <w:pStyle w:val="23"/>
                    <w:jc w:val="center"/>
                  </w:pPr>
                  <w:r>
                    <w:rPr>
                      <w:rFonts w:hint="eastAsia"/>
                    </w:rPr>
                    <w:t>无组织</w:t>
                  </w:r>
                </w:p>
              </w:tc>
              <w:tc>
                <w:tcPr>
                  <w:tcW w:w="856" w:type="pct"/>
                  <w:vAlign w:val="center"/>
                </w:tcPr>
                <w:p>
                  <w:pPr>
                    <w:pStyle w:val="23"/>
                    <w:jc w:val="center"/>
                  </w:pPr>
                  <w:r>
                    <w:t>颗粒物</w:t>
                  </w:r>
                </w:p>
              </w:tc>
              <w:tc>
                <w:tcPr>
                  <w:tcW w:w="834" w:type="pct"/>
                  <w:vAlign w:val="center"/>
                </w:tcPr>
                <w:p>
                  <w:pPr>
                    <w:pStyle w:val="23"/>
                    <w:jc w:val="center"/>
                  </w:pPr>
                  <w:r>
                    <w:rPr>
                      <w:rFonts w:hint="eastAsia"/>
                    </w:rPr>
                    <w:t>0</w:t>
                  </w:r>
                  <w:r>
                    <w:t>.415</w:t>
                  </w:r>
                </w:p>
              </w:tc>
              <w:tc>
                <w:tcPr>
                  <w:tcW w:w="834" w:type="pct"/>
                  <w:vAlign w:val="center"/>
                </w:tcPr>
                <w:p>
                  <w:pPr>
                    <w:pStyle w:val="23"/>
                    <w:jc w:val="center"/>
                  </w:pPr>
                  <w:r>
                    <w:rPr>
                      <w:rFonts w:hint="eastAsia"/>
                    </w:rPr>
                    <w:t>/</w:t>
                  </w:r>
                </w:p>
              </w:tc>
              <w:tc>
                <w:tcPr>
                  <w:tcW w:w="832" w:type="pct"/>
                  <w:vAlign w:val="center"/>
                </w:tcPr>
                <w:p>
                  <w:pPr>
                    <w:pStyle w:val="23"/>
                    <w:jc w:val="center"/>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4" w:type="pct"/>
                  <w:vAlign w:val="center"/>
                </w:tcPr>
                <w:p>
                  <w:pPr>
                    <w:pStyle w:val="23"/>
                    <w:jc w:val="center"/>
                  </w:pPr>
                  <w:r>
                    <w:rPr>
                      <w:rFonts w:hint="eastAsia"/>
                    </w:rPr>
                    <w:t>堆煤厂扬尘</w:t>
                  </w:r>
                </w:p>
              </w:tc>
              <w:tc>
                <w:tcPr>
                  <w:tcW w:w="670" w:type="pct"/>
                  <w:vAlign w:val="center"/>
                </w:tcPr>
                <w:p>
                  <w:pPr>
                    <w:pStyle w:val="23"/>
                    <w:jc w:val="center"/>
                  </w:pPr>
                  <w:r>
                    <w:rPr>
                      <w:rFonts w:hint="eastAsia"/>
                    </w:rPr>
                    <w:t>无组织</w:t>
                  </w:r>
                </w:p>
              </w:tc>
              <w:tc>
                <w:tcPr>
                  <w:tcW w:w="856" w:type="pct"/>
                  <w:vAlign w:val="center"/>
                </w:tcPr>
                <w:p>
                  <w:pPr>
                    <w:pStyle w:val="23"/>
                    <w:jc w:val="center"/>
                  </w:pPr>
                  <w:r>
                    <w:t>颗粒物</w:t>
                  </w:r>
                </w:p>
              </w:tc>
              <w:tc>
                <w:tcPr>
                  <w:tcW w:w="834" w:type="pct"/>
                  <w:vAlign w:val="center"/>
                </w:tcPr>
                <w:p>
                  <w:pPr>
                    <w:pStyle w:val="23"/>
                    <w:jc w:val="center"/>
                  </w:pPr>
                  <w:r>
                    <w:rPr>
                      <w:rFonts w:hint="eastAsia"/>
                    </w:rPr>
                    <w:t>0</w:t>
                  </w:r>
                  <w:r>
                    <w:t>.892</w:t>
                  </w:r>
                </w:p>
              </w:tc>
              <w:tc>
                <w:tcPr>
                  <w:tcW w:w="834" w:type="pct"/>
                  <w:vAlign w:val="center"/>
                </w:tcPr>
                <w:p>
                  <w:pPr>
                    <w:pStyle w:val="23"/>
                    <w:jc w:val="center"/>
                  </w:pPr>
                  <w:r>
                    <w:rPr>
                      <w:rFonts w:hint="eastAsia"/>
                    </w:rPr>
                    <w:t>/</w:t>
                  </w:r>
                </w:p>
              </w:tc>
              <w:tc>
                <w:tcPr>
                  <w:tcW w:w="832" w:type="pct"/>
                  <w:vAlign w:val="center"/>
                </w:tcPr>
                <w:p>
                  <w:pPr>
                    <w:pStyle w:val="23"/>
                    <w:jc w:val="center"/>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4" w:type="pct"/>
                  <w:vAlign w:val="center"/>
                </w:tcPr>
                <w:p>
                  <w:pPr>
                    <w:pStyle w:val="23"/>
                    <w:jc w:val="center"/>
                  </w:pPr>
                  <w:r>
                    <w:rPr>
                      <w:rFonts w:hint="eastAsia"/>
                    </w:rPr>
                    <w:t>车辆尾气</w:t>
                  </w:r>
                </w:p>
              </w:tc>
              <w:tc>
                <w:tcPr>
                  <w:tcW w:w="670" w:type="pct"/>
                  <w:vAlign w:val="center"/>
                </w:tcPr>
                <w:p>
                  <w:pPr>
                    <w:pStyle w:val="23"/>
                    <w:jc w:val="center"/>
                  </w:pPr>
                  <w:r>
                    <w:rPr>
                      <w:rFonts w:hint="eastAsia"/>
                    </w:rPr>
                    <w:t>无组织</w:t>
                  </w:r>
                </w:p>
              </w:tc>
              <w:tc>
                <w:tcPr>
                  <w:tcW w:w="856" w:type="pct"/>
                  <w:vAlign w:val="center"/>
                </w:tcPr>
                <w:p>
                  <w:pPr>
                    <w:pStyle w:val="23"/>
                    <w:jc w:val="center"/>
                  </w:pPr>
                  <w:r>
                    <w:rPr>
                      <w:rFonts w:hint="eastAsia"/>
                    </w:rPr>
                    <w:t>NOx、CO</w:t>
                  </w:r>
                </w:p>
              </w:tc>
              <w:tc>
                <w:tcPr>
                  <w:tcW w:w="834" w:type="pct"/>
                  <w:vAlign w:val="center"/>
                </w:tcPr>
                <w:p>
                  <w:pPr>
                    <w:pStyle w:val="23"/>
                    <w:jc w:val="center"/>
                  </w:pPr>
                  <w:r>
                    <w:rPr>
                      <w:rFonts w:hint="eastAsia"/>
                    </w:rPr>
                    <w:t>少量</w:t>
                  </w:r>
                </w:p>
              </w:tc>
              <w:tc>
                <w:tcPr>
                  <w:tcW w:w="834" w:type="pct"/>
                  <w:vAlign w:val="center"/>
                </w:tcPr>
                <w:p>
                  <w:pPr>
                    <w:pStyle w:val="23"/>
                    <w:jc w:val="center"/>
                  </w:pPr>
                  <w:r>
                    <w:rPr>
                      <w:rFonts w:hint="eastAsia"/>
                    </w:rPr>
                    <w:t>/</w:t>
                  </w:r>
                </w:p>
              </w:tc>
              <w:tc>
                <w:tcPr>
                  <w:tcW w:w="832" w:type="pct"/>
                  <w:vAlign w:val="center"/>
                </w:tcPr>
                <w:p>
                  <w:pPr>
                    <w:pStyle w:val="23"/>
                    <w:jc w:val="center"/>
                  </w:pPr>
                  <w:r>
                    <w:rPr>
                      <w:rFonts w:hint="eastAsia"/>
                    </w:rPr>
                    <w:t>/</w:t>
                  </w:r>
                </w:p>
              </w:tc>
            </w:tr>
          </w:tbl>
          <w:p>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（2）源强核算说明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经产排污环节分析，本项目运营期产生的废气为运输扬尘、装卸扬尘、堆煤厂扬尘以及车辆运输尾气。</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1）运输扬尘计算</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①产生情况</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本项目煤炭在厂区内运输过程扬尘产生量按照一下经验公式估算：</w:t>
            </w:r>
          </w:p>
          <w:p>
            <w:pPr>
              <w:spacing w:line="360" w:lineRule="auto"/>
              <w:ind w:firstLine="420" w:firstLineChars="200"/>
              <w:jc w:val="center"/>
              <w:rPr>
                <w:rFonts w:ascii="Times New Roman" w:hAnsi="Times New Roman" w:eastAsia="宋体" w:cs="Times New Roman"/>
                <w:bCs/>
                <w:sz w:val="24"/>
                <w:szCs w:val="24"/>
              </w:rPr>
            </w:pPr>
            <w:r>
              <w:rPr>
                <w14:ligatures w14:val="standardContextual"/>
              </w:rPr>
              <w:drawing>
                <wp:inline distT="0" distB="0" distL="0" distR="0">
                  <wp:extent cx="3142615" cy="1047115"/>
                  <wp:effectExtent l="0" t="0" r="635" b="635"/>
                  <wp:docPr id="7224508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50837" name="图片 1"/>
                          <pic:cNvPicPr>
                            <a:picLocks noChangeAspect="1"/>
                          </pic:cNvPicPr>
                        </pic:nvPicPr>
                        <pic:blipFill>
                          <a:blip r:embed="rId11"/>
                          <a:stretch>
                            <a:fillRect/>
                          </a:stretch>
                        </pic:blipFill>
                        <pic:spPr>
                          <a:xfrm>
                            <a:off x="0" y="0"/>
                            <a:ext cx="3142857" cy="1047619"/>
                          </a:xfrm>
                          <a:prstGeom prst="rect">
                            <a:avLst/>
                          </a:prstGeom>
                        </pic:spPr>
                      </pic:pic>
                    </a:graphicData>
                  </a:graphic>
                </wp:inline>
              </w:drawing>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式中：Q</w:t>
            </w:r>
            <w:r>
              <w:rPr>
                <w:rFonts w:ascii="Times New Roman" w:hAnsi="Times New Roman" w:eastAsia="宋体" w:cs="Times New Roman"/>
                <w:bCs/>
                <w:sz w:val="24"/>
                <w:szCs w:val="24"/>
              </w:rPr>
              <w:t>y—</w:t>
            </w:r>
            <w:r>
              <w:rPr>
                <w:rFonts w:hint="eastAsia" w:ascii="Times New Roman" w:hAnsi="Times New Roman" w:eastAsia="宋体" w:cs="Times New Roman"/>
                <w:bCs/>
                <w:sz w:val="24"/>
                <w:szCs w:val="24"/>
              </w:rPr>
              <w:t>交通运输起尘量，k</w:t>
            </w:r>
            <w:r>
              <w:rPr>
                <w:rFonts w:ascii="Times New Roman" w:hAnsi="Times New Roman" w:eastAsia="宋体" w:cs="Times New Roman"/>
                <w:bCs/>
                <w:sz w:val="24"/>
                <w:szCs w:val="24"/>
              </w:rPr>
              <w:t>g/</w:t>
            </w:r>
            <w:r>
              <w:rPr>
                <w:rFonts w:hint="eastAsia" w:ascii="Times New Roman" w:hAnsi="Times New Roman" w:eastAsia="宋体" w:cs="Times New Roman"/>
                <w:bCs/>
                <w:sz w:val="24"/>
                <w:szCs w:val="24"/>
              </w:rPr>
              <w:t>km.车辆；</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 xml:space="preserve"> </w:t>
            </w:r>
            <w:r>
              <w:rPr>
                <w:rFonts w:ascii="Times New Roman" w:hAnsi="Times New Roman" w:eastAsia="宋体" w:cs="Times New Roman"/>
                <w:bCs/>
                <w:sz w:val="24"/>
                <w:szCs w:val="24"/>
              </w:rPr>
              <w:t xml:space="preserve">     Q</w:t>
            </w:r>
            <w:r>
              <w:rPr>
                <w:rFonts w:hint="eastAsia" w:ascii="Times New Roman" w:hAnsi="Times New Roman" w:eastAsia="宋体" w:cs="Times New Roman"/>
                <w:bCs/>
                <w:sz w:val="24"/>
                <w:szCs w:val="24"/>
              </w:rPr>
              <w:t>t</w:t>
            </w:r>
            <w:r>
              <w:rPr>
                <w:rFonts w:ascii="Times New Roman" w:hAnsi="Times New Roman" w:eastAsia="宋体" w:cs="Times New Roman"/>
                <w:bCs/>
                <w:sz w:val="24"/>
                <w:szCs w:val="24"/>
              </w:rPr>
              <w:t>—</w:t>
            </w:r>
            <w:r>
              <w:rPr>
                <w:rFonts w:hint="eastAsia" w:ascii="Times New Roman" w:hAnsi="Times New Roman" w:eastAsia="宋体" w:cs="Times New Roman"/>
                <w:bCs/>
                <w:sz w:val="24"/>
                <w:szCs w:val="24"/>
              </w:rPr>
              <w:t>运输途中起尘量，k</w:t>
            </w:r>
            <w:r>
              <w:rPr>
                <w:rFonts w:ascii="Times New Roman" w:hAnsi="Times New Roman" w:eastAsia="宋体" w:cs="Times New Roman"/>
                <w:bCs/>
                <w:sz w:val="24"/>
                <w:szCs w:val="24"/>
              </w:rPr>
              <w:t>g/</w:t>
            </w:r>
            <w:r>
              <w:rPr>
                <w:rFonts w:hint="eastAsia" w:ascii="Times New Roman" w:hAnsi="Times New Roman" w:eastAsia="宋体" w:cs="Times New Roman"/>
                <w:bCs/>
                <w:sz w:val="24"/>
                <w:szCs w:val="24"/>
              </w:rPr>
              <w:t>a；</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 xml:space="preserve"> </w:t>
            </w:r>
            <w:r>
              <w:rPr>
                <w:rFonts w:ascii="Times New Roman" w:hAnsi="Times New Roman" w:eastAsia="宋体" w:cs="Times New Roman"/>
                <w:bCs/>
                <w:sz w:val="24"/>
                <w:szCs w:val="24"/>
              </w:rPr>
              <w:t xml:space="preserve">     V—</w:t>
            </w:r>
            <w:r>
              <w:rPr>
                <w:rFonts w:hint="eastAsia" w:ascii="Times New Roman" w:hAnsi="Times New Roman" w:eastAsia="宋体" w:cs="Times New Roman"/>
                <w:bCs/>
                <w:sz w:val="24"/>
                <w:szCs w:val="24"/>
              </w:rPr>
              <w:t>车辆行驶速度，</w:t>
            </w:r>
            <w:r>
              <w:rPr>
                <w:rFonts w:ascii="Times New Roman" w:hAnsi="Times New Roman" w:eastAsia="宋体" w:cs="Times New Roman"/>
                <w:bCs/>
                <w:sz w:val="24"/>
                <w:szCs w:val="24"/>
              </w:rPr>
              <w:t>km/</w:t>
            </w:r>
            <w:r>
              <w:rPr>
                <w:rFonts w:hint="eastAsia" w:ascii="Times New Roman" w:hAnsi="Times New Roman" w:eastAsia="宋体" w:cs="Times New Roman"/>
                <w:bCs/>
                <w:sz w:val="24"/>
                <w:szCs w:val="24"/>
              </w:rPr>
              <w:t>h；空车2</w:t>
            </w:r>
            <w:r>
              <w:rPr>
                <w:rFonts w:ascii="Times New Roman" w:hAnsi="Times New Roman" w:eastAsia="宋体" w:cs="Times New Roman"/>
                <w:bCs/>
                <w:sz w:val="24"/>
                <w:szCs w:val="24"/>
              </w:rPr>
              <w:t>0</w:t>
            </w:r>
            <w:r>
              <w:rPr>
                <w:rFonts w:hint="eastAsia" w:ascii="Times New Roman" w:hAnsi="Times New Roman" w:eastAsia="宋体" w:cs="Times New Roman"/>
                <w:bCs/>
                <w:sz w:val="24"/>
                <w:szCs w:val="24"/>
              </w:rPr>
              <w:t>km</w:t>
            </w:r>
            <w:r>
              <w:rPr>
                <w:rFonts w:ascii="Times New Roman" w:hAnsi="Times New Roman" w:eastAsia="宋体" w:cs="Times New Roman"/>
                <w:bCs/>
                <w:sz w:val="24"/>
                <w:szCs w:val="24"/>
              </w:rPr>
              <w:t>/</w:t>
            </w:r>
            <w:r>
              <w:rPr>
                <w:rFonts w:hint="eastAsia" w:ascii="Times New Roman" w:hAnsi="Times New Roman" w:eastAsia="宋体" w:cs="Times New Roman"/>
                <w:bCs/>
                <w:sz w:val="24"/>
                <w:szCs w:val="24"/>
              </w:rPr>
              <w:t>h，载重后1</w:t>
            </w:r>
            <w:r>
              <w:rPr>
                <w:rFonts w:ascii="Times New Roman" w:hAnsi="Times New Roman" w:eastAsia="宋体" w:cs="Times New Roman"/>
                <w:bCs/>
                <w:sz w:val="24"/>
                <w:szCs w:val="24"/>
              </w:rPr>
              <w:t>0km</w:t>
            </w:r>
            <w:r>
              <w:rPr>
                <w:rFonts w:hint="eastAsia" w:ascii="Times New Roman" w:hAnsi="Times New Roman" w:eastAsia="宋体" w:cs="Times New Roman"/>
                <w:bCs/>
                <w:sz w:val="24"/>
                <w:szCs w:val="24"/>
              </w:rPr>
              <w:t>/h；</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 xml:space="preserve"> </w:t>
            </w:r>
            <w:r>
              <w:rPr>
                <w:rFonts w:ascii="Times New Roman" w:hAnsi="Times New Roman" w:eastAsia="宋体" w:cs="Times New Roman"/>
                <w:bCs/>
                <w:sz w:val="24"/>
                <w:szCs w:val="24"/>
              </w:rPr>
              <w:t xml:space="preserve">     P—</w:t>
            </w:r>
            <w:r>
              <w:rPr>
                <w:rFonts w:hint="eastAsia" w:ascii="Times New Roman" w:hAnsi="Times New Roman" w:eastAsia="宋体" w:cs="Times New Roman"/>
                <w:bCs/>
                <w:sz w:val="24"/>
                <w:szCs w:val="24"/>
              </w:rPr>
              <w:t>路面状况，以每平方米路面灰尘覆盖率表示，</w:t>
            </w:r>
            <w:r>
              <w:rPr>
                <w:rFonts w:ascii="Times New Roman" w:hAnsi="Times New Roman" w:eastAsia="宋体" w:cs="Times New Roman"/>
                <w:bCs/>
                <w:sz w:val="24"/>
                <w:szCs w:val="24"/>
              </w:rPr>
              <w:t>kg</w:t>
            </w:r>
            <w:r>
              <w:rPr>
                <w:rFonts w:hint="eastAsia" w:ascii="Times New Roman" w:hAnsi="Times New Roman" w:eastAsia="宋体" w:cs="Times New Roman"/>
                <w:bCs/>
                <w:sz w:val="24"/>
                <w:szCs w:val="24"/>
              </w:rPr>
              <w:t>/m</w:t>
            </w:r>
            <w:r>
              <w:rPr>
                <w:rFonts w:ascii="Times New Roman" w:hAnsi="Times New Roman" w:eastAsia="宋体" w:cs="Times New Roman"/>
                <w:bCs/>
                <w:sz w:val="24"/>
                <w:szCs w:val="24"/>
                <w:vertAlign w:val="superscript"/>
              </w:rPr>
              <w:t>2</w:t>
            </w:r>
            <w:r>
              <w:rPr>
                <w:rFonts w:hint="eastAsia" w:ascii="Times New Roman" w:hAnsi="Times New Roman" w:eastAsia="宋体" w:cs="Times New Roman"/>
                <w:bCs/>
                <w:sz w:val="24"/>
                <w:szCs w:val="24"/>
              </w:rPr>
              <w:t>；</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 xml:space="preserve"> </w:t>
            </w:r>
            <w:r>
              <w:rPr>
                <w:rFonts w:ascii="Times New Roman" w:hAnsi="Times New Roman" w:eastAsia="宋体" w:cs="Times New Roman"/>
                <w:bCs/>
                <w:sz w:val="24"/>
                <w:szCs w:val="24"/>
              </w:rPr>
              <w:t xml:space="preserve">     M—</w:t>
            </w:r>
            <w:r>
              <w:rPr>
                <w:rFonts w:hint="eastAsia" w:ascii="Times New Roman" w:hAnsi="Times New Roman" w:eastAsia="宋体" w:cs="Times New Roman"/>
                <w:bCs/>
                <w:sz w:val="24"/>
                <w:szCs w:val="24"/>
              </w:rPr>
              <w:t>车辆载重，t</w:t>
            </w:r>
            <w:r>
              <w:rPr>
                <w:rFonts w:ascii="Times New Roman" w:hAnsi="Times New Roman" w:eastAsia="宋体" w:cs="Times New Roman"/>
                <w:bCs/>
                <w:sz w:val="24"/>
                <w:szCs w:val="24"/>
              </w:rPr>
              <w:t>/</w:t>
            </w:r>
            <w:r>
              <w:rPr>
                <w:rFonts w:hint="eastAsia" w:ascii="Times New Roman" w:hAnsi="Times New Roman" w:eastAsia="宋体" w:cs="Times New Roman"/>
                <w:bCs/>
                <w:sz w:val="24"/>
                <w:szCs w:val="24"/>
              </w:rPr>
              <w:t>辆。运输车辆空车自重1</w:t>
            </w:r>
            <w:r>
              <w:rPr>
                <w:rFonts w:ascii="Times New Roman" w:hAnsi="Times New Roman" w:eastAsia="宋体" w:cs="Times New Roman"/>
                <w:bCs/>
                <w:sz w:val="24"/>
                <w:szCs w:val="24"/>
              </w:rPr>
              <w:t>0t</w:t>
            </w:r>
            <w:r>
              <w:rPr>
                <w:rFonts w:hint="eastAsia" w:ascii="Times New Roman" w:hAnsi="Times New Roman" w:eastAsia="宋体" w:cs="Times New Roman"/>
                <w:bCs/>
                <w:sz w:val="24"/>
                <w:szCs w:val="24"/>
              </w:rPr>
              <w:t>，载重后总重3</w:t>
            </w:r>
            <w:r>
              <w:rPr>
                <w:rFonts w:ascii="Times New Roman" w:hAnsi="Times New Roman" w:eastAsia="宋体" w:cs="Times New Roman"/>
                <w:bCs/>
                <w:sz w:val="24"/>
                <w:szCs w:val="24"/>
              </w:rPr>
              <w:t>0t</w:t>
            </w:r>
            <w:r>
              <w:rPr>
                <w:rFonts w:hint="eastAsia" w:ascii="Times New Roman" w:hAnsi="Times New Roman" w:eastAsia="宋体" w:cs="Times New Roman"/>
                <w:bCs/>
                <w:sz w:val="24"/>
                <w:szCs w:val="24"/>
              </w:rPr>
              <w:t>；</w:t>
            </w:r>
          </w:p>
          <w:p>
            <w:pPr>
              <w:spacing w:line="360" w:lineRule="auto"/>
              <w:ind w:firstLine="1200" w:firstLineChars="500"/>
              <w:rPr>
                <w:rFonts w:ascii="Times New Roman" w:hAnsi="Times New Roman" w:eastAsia="宋体" w:cs="Times New Roman"/>
                <w:bCs/>
                <w:sz w:val="24"/>
                <w:szCs w:val="24"/>
              </w:rPr>
            </w:pPr>
            <w:r>
              <w:rPr>
                <w:rFonts w:hint="eastAsia" w:ascii="Times New Roman" w:hAnsi="Times New Roman" w:eastAsia="宋体" w:cs="Times New Roman"/>
                <w:bCs/>
                <w:sz w:val="24"/>
                <w:szCs w:val="24"/>
              </w:rPr>
              <w:t>L</w:t>
            </w:r>
            <w:r>
              <w:rPr>
                <w:rFonts w:ascii="Times New Roman" w:hAnsi="Times New Roman" w:eastAsia="宋体" w:cs="Times New Roman"/>
                <w:bCs/>
                <w:sz w:val="24"/>
                <w:szCs w:val="24"/>
              </w:rPr>
              <w:t>—</w:t>
            </w:r>
            <w:r>
              <w:rPr>
                <w:rFonts w:hint="eastAsia" w:ascii="Times New Roman" w:hAnsi="Times New Roman" w:eastAsia="宋体" w:cs="Times New Roman"/>
                <w:bCs/>
                <w:sz w:val="24"/>
                <w:szCs w:val="24"/>
              </w:rPr>
              <w:t>运输距离，k</w:t>
            </w:r>
            <w:r>
              <w:rPr>
                <w:rFonts w:ascii="Times New Roman" w:hAnsi="Times New Roman" w:eastAsia="宋体" w:cs="Times New Roman"/>
                <w:bCs/>
                <w:sz w:val="24"/>
                <w:szCs w:val="24"/>
              </w:rPr>
              <w:t>m</w:t>
            </w:r>
            <w:r>
              <w:rPr>
                <w:rFonts w:hint="eastAsia" w:ascii="Times New Roman" w:hAnsi="Times New Roman" w:eastAsia="宋体" w:cs="Times New Roman"/>
                <w:bCs/>
                <w:sz w:val="24"/>
                <w:szCs w:val="24"/>
              </w:rPr>
              <w:t>；</w:t>
            </w:r>
          </w:p>
          <w:p>
            <w:pPr>
              <w:spacing w:line="360" w:lineRule="auto"/>
              <w:ind w:firstLine="1200" w:firstLineChars="500"/>
              <w:rPr>
                <w:rFonts w:ascii="Times New Roman" w:hAnsi="Times New Roman" w:eastAsia="宋体" w:cs="Times New Roman"/>
                <w:bCs/>
                <w:sz w:val="24"/>
                <w:szCs w:val="24"/>
              </w:rPr>
            </w:pPr>
            <w:r>
              <w:rPr>
                <w:rFonts w:hint="eastAsia" w:ascii="Times New Roman" w:hAnsi="Times New Roman" w:eastAsia="宋体" w:cs="Times New Roman"/>
                <w:bCs/>
                <w:sz w:val="24"/>
                <w:szCs w:val="24"/>
              </w:rPr>
              <w:t>Q</w:t>
            </w:r>
            <w:r>
              <w:rPr>
                <w:rFonts w:ascii="Times New Roman" w:hAnsi="Times New Roman" w:eastAsia="宋体" w:cs="Times New Roman"/>
                <w:bCs/>
                <w:sz w:val="24"/>
                <w:szCs w:val="24"/>
              </w:rPr>
              <w:t>—</w:t>
            </w:r>
            <w:r>
              <w:rPr>
                <w:rFonts w:hint="eastAsia" w:ascii="Times New Roman" w:hAnsi="Times New Roman" w:eastAsia="宋体" w:cs="Times New Roman"/>
                <w:bCs/>
                <w:sz w:val="24"/>
                <w:szCs w:val="24"/>
              </w:rPr>
              <w:t>运输量，t</w:t>
            </w:r>
            <w:r>
              <w:rPr>
                <w:rFonts w:ascii="Times New Roman" w:hAnsi="Times New Roman" w:eastAsia="宋体" w:cs="Times New Roman"/>
                <w:bCs/>
                <w:sz w:val="24"/>
                <w:szCs w:val="24"/>
              </w:rPr>
              <w:t>/a</w:t>
            </w:r>
            <w:r>
              <w:rPr>
                <w:rFonts w:hint="eastAsia" w:ascii="Times New Roman" w:hAnsi="Times New Roman" w:eastAsia="宋体" w:cs="Times New Roman"/>
                <w:bCs/>
                <w:sz w:val="24"/>
                <w:szCs w:val="24"/>
              </w:rPr>
              <w:t>。</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本项目煤炭运输总量为1</w:t>
            </w:r>
            <w:r>
              <w:rPr>
                <w:rFonts w:ascii="Times New Roman" w:hAnsi="Times New Roman" w:eastAsia="宋体" w:cs="Times New Roman"/>
                <w:bCs/>
                <w:sz w:val="24"/>
                <w:szCs w:val="24"/>
              </w:rPr>
              <w:t>20000t</w:t>
            </w:r>
            <w:r>
              <w:rPr>
                <w:rFonts w:hint="eastAsia" w:ascii="Times New Roman" w:hAnsi="Times New Roman" w:eastAsia="宋体" w:cs="Times New Roman"/>
                <w:bCs/>
                <w:sz w:val="24"/>
                <w:szCs w:val="24"/>
              </w:rPr>
              <w:t>（进出各6万吨），项目厂区内平均运输距离按1</w:t>
            </w:r>
            <w:r>
              <w:rPr>
                <w:rFonts w:ascii="Times New Roman" w:hAnsi="Times New Roman" w:eastAsia="宋体" w:cs="Times New Roman"/>
                <w:bCs/>
                <w:sz w:val="24"/>
                <w:szCs w:val="24"/>
              </w:rPr>
              <w:t>00m</w:t>
            </w:r>
            <w:r>
              <w:rPr>
                <w:rFonts w:hint="eastAsia" w:ascii="Times New Roman" w:hAnsi="Times New Roman" w:eastAsia="宋体" w:cs="Times New Roman"/>
                <w:bCs/>
                <w:sz w:val="24"/>
                <w:szCs w:val="24"/>
              </w:rPr>
              <w:t>计算，洒水前路面灰尘覆盖率为0</w:t>
            </w:r>
            <w:r>
              <w:rPr>
                <w:rFonts w:ascii="Times New Roman" w:hAnsi="Times New Roman" w:eastAsia="宋体" w:cs="Times New Roman"/>
                <w:bCs/>
                <w:sz w:val="24"/>
                <w:szCs w:val="24"/>
              </w:rPr>
              <w:t>.2 kg</w:t>
            </w:r>
            <w:r>
              <w:rPr>
                <w:rFonts w:hint="eastAsia" w:ascii="Times New Roman" w:hAnsi="Times New Roman" w:eastAsia="宋体" w:cs="Times New Roman"/>
                <w:bCs/>
                <w:sz w:val="24"/>
                <w:szCs w:val="24"/>
              </w:rPr>
              <w:t>/m</w:t>
            </w:r>
            <w:r>
              <w:rPr>
                <w:rFonts w:ascii="Times New Roman" w:hAnsi="Times New Roman" w:eastAsia="宋体" w:cs="Times New Roman"/>
                <w:bCs/>
                <w:sz w:val="24"/>
                <w:szCs w:val="24"/>
                <w:vertAlign w:val="superscript"/>
              </w:rPr>
              <w:t>2</w:t>
            </w:r>
            <w:r>
              <w:rPr>
                <w:rFonts w:hint="eastAsia" w:ascii="Times New Roman" w:hAnsi="Times New Roman" w:eastAsia="宋体" w:cs="Times New Roman"/>
                <w:bCs/>
                <w:sz w:val="24"/>
                <w:szCs w:val="24"/>
                <w:vertAlign w:val="superscript"/>
              </w:rPr>
              <w:t xml:space="preserve"> </w:t>
            </w:r>
            <w:r>
              <w:rPr>
                <w:rFonts w:hint="eastAsia" w:ascii="Times New Roman" w:hAnsi="Times New Roman" w:eastAsia="宋体" w:cs="Times New Roman"/>
                <w:bCs/>
                <w:sz w:val="24"/>
                <w:szCs w:val="24"/>
              </w:rPr>
              <w:t>，考虑汽车往返。经过计算，未采取洒水等降尘措施是，运输扬尘产生量为0</w:t>
            </w:r>
            <w:r>
              <w:rPr>
                <w:rFonts w:ascii="Times New Roman" w:hAnsi="Times New Roman" w:eastAsia="宋体" w:cs="Times New Roman"/>
                <w:bCs/>
                <w:sz w:val="24"/>
                <w:szCs w:val="24"/>
              </w:rPr>
              <w:t>.715t/a</w:t>
            </w:r>
            <w:r>
              <w:rPr>
                <w:rFonts w:hint="eastAsia" w:ascii="Times New Roman" w:hAnsi="Times New Roman" w:eastAsia="宋体" w:cs="Times New Roman"/>
                <w:bCs/>
                <w:sz w:val="24"/>
                <w:szCs w:val="24"/>
              </w:rPr>
              <w:t>。</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②治理措施</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为控制厂区道路扬尘，本项目采用进出口棚顶安装喷淋装置，混凝土对厂区内路面进行硬化，定期对路面进行清扫、洒水。同时，项目对散料运输车辆加盖篷布，做好遮掩工作，进出场车辆轮胎清洗，运输过程中控制车速，减少运输扬尘产生量。</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在采取以上措施后，本项目厂区道路扬尘控制效率可达</w:t>
            </w:r>
            <w:r>
              <w:rPr>
                <w:rFonts w:ascii="Times New Roman" w:hAnsi="Times New Roman" w:eastAsia="宋体" w:cs="Times New Roman"/>
                <w:bCs/>
                <w:sz w:val="24"/>
                <w:szCs w:val="24"/>
              </w:rPr>
              <w:t xml:space="preserve"> 80%，则厂区道路扬尘排放量为0.143t/a。</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2</w:t>
            </w:r>
            <w:r>
              <w:rPr>
                <w:rFonts w:hint="eastAsia" w:ascii="Times New Roman" w:hAnsi="Times New Roman" w:eastAsia="宋体" w:cs="Times New Roman"/>
                <w:bCs/>
                <w:sz w:val="24"/>
                <w:szCs w:val="24"/>
              </w:rPr>
              <w:t>）装卸扬尘</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①产生情况</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本项目原煤装卸扬尘产生量采用交通部水运研究所和武汉水运工程学院提出的经验公式计算：</w:t>
            </w:r>
          </w:p>
          <w:p>
            <w:pPr>
              <w:spacing w:line="360" w:lineRule="auto"/>
              <w:ind w:firstLine="420" w:firstLineChars="200"/>
              <w:rPr>
                <w:rFonts w:ascii="Times New Roman" w:hAnsi="Times New Roman" w:eastAsia="宋体" w:cs="Times New Roman"/>
                <w:bCs/>
                <w:sz w:val="24"/>
                <w:szCs w:val="24"/>
              </w:rPr>
            </w:pPr>
            <w:r>
              <w:rPr>
                <w14:ligatures w14:val="standardContextual"/>
              </w:rPr>
              <w:drawing>
                <wp:inline distT="0" distB="0" distL="0" distR="0">
                  <wp:extent cx="3856990" cy="1856740"/>
                  <wp:effectExtent l="0" t="0" r="0" b="0"/>
                  <wp:docPr id="17895555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55535" name="图片 1"/>
                          <pic:cNvPicPr>
                            <a:picLocks noChangeAspect="1"/>
                          </pic:cNvPicPr>
                        </pic:nvPicPr>
                        <pic:blipFill>
                          <a:blip r:embed="rId12"/>
                          <a:stretch>
                            <a:fillRect/>
                          </a:stretch>
                        </pic:blipFill>
                        <pic:spPr>
                          <a:xfrm>
                            <a:off x="0" y="0"/>
                            <a:ext cx="3857143" cy="1857143"/>
                          </a:xfrm>
                          <a:prstGeom prst="rect">
                            <a:avLst/>
                          </a:prstGeom>
                        </pic:spPr>
                      </pic:pic>
                    </a:graphicData>
                  </a:graphic>
                </wp:inline>
              </w:drawing>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本项目原煤经汽车卸料至库房，原煤年卸料量为</w:t>
            </w:r>
            <w:r>
              <w:rPr>
                <w:rFonts w:ascii="Times New Roman" w:hAnsi="Times New Roman" w:eastAsia="宋体" w:cs="Times New Roman"/>
                <w:bCs/>
                <w:sz w:val="24"/>
                <w:szCs w:val="24"/>
              </w:rPr>
              <w:t>120000t，卸料时原煤含水率为5%，</w:t>
            </w:r>
            <w:r>
              <w:rPr>
                <w:rFonts w:hint="eastAsia" w:ascii="Times New Roman" w:hAnsi="Times New Roman" w:eastAsia="宋体" w:cs="Times New Roman"/>
                <w:bCs/>
                <w:sz w:val="24"/>
                <w:szCs w:val="24"/>
              </w:rPr>
              <w:t>装</w:t>
            </w:r>
            <w:r>
              <w:rPr>
                <w:rFonts w:ascii="Times New Roman" w:hAnsi="Times New Roman" w:eastAsia="宋体" w:cs="Times New Roman"/>
                <w:bCs/>
                <w:sz w:val="24"/>
                <w:szCs w:val="24"/>
              </w:rPr>
              <w:t>卸料高度为 1m。经计算，在不采取任何控尘措施的情况下，原煤卸料扬尘产生量为2.075t/a。</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②治理措施</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本项目装卸过程中采取洒水降尘方式，扬尘控制效率可达</w:t>
            </w:r>
            <w:r>
              <w:rPr>
                <w:rFonts w:ascii="Times New Roman" w:hAnsi="Times New Roman" w:eastAsia="宋体" w:cs="Times New Roman"/>
                <w:bCs/>
                <w:sz w:val="24"/>
                <w:szCs w:val="24"/>
              </w:rPr>
              <w:t xml:space="preserve"> 80%</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，则</w:t>
            </w:r>
            <w:r>
              <w:rPr>
                <w:rFonts w:hint="eastAsia" w:ascii="Times New Roman" w:hAnsi="Times New Roman" w:eastAsia="宋体" w:cs="Times New Roman"/>
                <w:bCs/>
                <w:sz w:val="24"/>
                <w:szCs w:val="24"/>
              </w:rPr>
              <w:t>装卸</w:t>
            </w:r>
            <w:r>
              <w:rPr>
                <w:rFonts w:ascii="Times New Roman" w:hAnsi="Times New Roman" w:eastAsia="宋体" w:cs="Times New Roman"/>
                <w:bCs/>
                <w:sz w:val="24"/>
                <w:szCs w:val="24"/>
              </w:rPr>
              <w:t>扬尘排放量为0.415t/a。</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3）堆煤厂扬尘</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①产生情况</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本项目原煤堆存过程扬尘产生量采用清华大学在霍州电厂现场试验的模式计算：</w:t>
            </w:r>
          </w:p>
          <w:p>
            <w:pPr>
              <w:spacing w:line="360" w:lineRule="auto"/>
              <w:jc w:val="center"/>
              <w:rPr>
                <w:rFonts w:ascii="Times New Roman" w:hAnsi="Times New Roman" w:eastAsia="宋体" w:cs="Times New Roman"/>
                <w:bCs/>
                <w:sz w:val="24"/>
                <w:szCs w:val="24"/>
              </w:rPr>
            </w:pPr>
            <w:r>
              <w:rPr>
                <w14:ligatures w14:val="standardContextual"/>
              </w:rPr>
              <w:drawing>
                <wp:inline distT="0" distB="0" distL="0" distR="0">
                  <wp:extent cx="3533140" cy="1532890"/>
                  <wp:effectExtent l="0" t="0" r="0" b="0"/>
                  <wp:docPr id="1252477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77231" name="图片 1"/>
                          <pic:cNvPicPr>
                            <a:picLocks noChangeAspect="1"/>
                          </pic:cNvPicPr>
                        </pic:nvPicPr>
                        <pic:blipFill>
                          <a:blip r:embed="rId13"/>
                          <a:stretch>
                            <a:fillRect/>
                          </a:stretch>
                        </pic:blipFill>
                        <pic:spPr>
                          <a:xfrm>
                            <a:off x="0" y="0"/>
                            <a:ext cx="3533333" cy="1533333"/>
                          </a:xfrm>
                          <a:prstGeom prst="rect">
                            <a:avLst/>
                          </a:prstGeom>
                        </pic:spPr>
                      </pic:pic>
                    </a:graphicData>
                  </a:graphic>
                </wp:inline>
              </w:drawing>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本项目储煤场面积为3</w:t>
            </w:r>
            <w:r>
              <w:rPr>
                <w:rFonts w:ascii="Times New Roman" w:hAnsi="Times New Roman" w:eastAsia="宋体" w:cs="Times New Roman"/>
                <w:bCs/>
                <w:sz w:val="24"/>
                <w:szCs w:val="24"/>
              </w:rPr>
              <w:t>240m</w:t>
            </w:r>
            <w:r>
              <w:rPr>
                <w:rFonts w:ascii="Times New Roman" w:hAnsi="Times New Roman" w:eastAsia="宋体" w:cs="Times New Roman"/>
                <w:bCs/>
                <w:sz w:val="24"/>
                <w:szCs w:val="24"/>
                <w:vertAlign w:val="superscript"/>
              </w:rPr>
              <w:t>2</w:t>
            </w:r>
            <w:r>
              <w:rPr>
                <w:rFonts w:hint="eastAsia" w:ascii="Times New Roman" w:hAnsi="Times New Roman" w:eastAsia="宋体" w:cs="Times New Roman"/>
                <w:bCs/>
                <w:sz w:val="24"/>
                <w:szCs w:val="24"/>
              </w:rPr>
              <w:t>，原煤堆存时含水量为5</w:t>
            </w:r>
            <w:r>
              <w:rPr>
                <w:rFonts w:ascii="Times New Roman" w:hAnsi="Times New Roman" w:eastAsia="宋体" w:cs="Times New Roman"/>
                <w:bCs/>
                <w:sz w:val="24"/>
                <w:szCs w:val="24"/>
              </w:rPr>
              <w:t>%</w:t>
            </w:r>
            <w:r>
              <w:rPr>
                <w:rFonts w:hint="eastAsia" w:ascii="Times New Roman" w:hAnsi="Times New Roman" w:eastAsia="宋体" w:cs="Times New Roman"/>
                <w:bCs/>
                <w:sz w:val="24"/>
                <w:szCs w:val="24"/>
              </w:rPr>
              <w:t>，经过计算，堆煤厂扬尘产生量为4</w:t>
            </w:r>
            <w:r>
              <w:rPr>
                <w:rFonts w:ascii="Times New Roman" w:hAnsi="Times New Roman" w:eastAsia="宋体" w:cs="Times New Roman"/>
                <w:bCs/>
                <w:sz w:val="24"/>
                <w:szCs w:val="24"/>
              </w:rPr>
              <w:t>.462t/a</w:t>
            </w:r>
            <w:r>
              <w:rPr>
                <w:rFonts w:hint="eastAsia" w:ascii="Times New Roman" w:hAnsi="Times New Roman" w:eastAsia="宋体" w:cs="Times New Roman"/>
                <w:bCs/>
                <w:sz w:val="24"/>
                <w:szCs w:val="24"/>
              </w:rPr>
              <w:t>。</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②治理措施</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本项目原煤堆存过程中采取四面围挡+洒水降尘方式，扬尘控制效率可达</w:t>
            </w:r>
            <w:r>
              <w:rPr>
                <w:rFonts w:ascii="Times New Roman" w:hAnsi="Times New Roman" w:eastAsia="宋体" w:cs="Times New Roman"/>
                <w:bCs/>
                <w:sz w:val="24"/>
                <w:szCs w:val="24"/>
              </w:rPr>
              <w:t xml:space="preserve"> 80%</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，则</w:t>
            </w:r>
            <w:r>
              <w:rPr>
                <w:rFonts w:hint="eastAsia" w:ascii="Times New Roman" w:hAnsi="Times New Roman" w:eastAsia="宋体" w:cs="Times New Roman"/>
                <w:bCs/>
                <w:sz w:val="24"/>
                <w:szCs w:val="24"/>
              </w:rPr>
              <w:t>装卸</w:t>
            </w:r>
            <w:r>
              <w:rPr>
                <w:rFonts w:ascii="Times New Roman" w:hAnsi="Times New Roman" w:eastAsia="宋体" w:cs="Times New Roman"/>
                <w:bCs/>
                <w:sz w:val="24"/>
                <w:szCs w:val="24"/>
              </w:rPr>
              <w:t>扬尘排放量为0.892t/a。</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4）进出车辆尾气</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项目建成投入使用后预计车流量不大，主要是进出货车，汽车尾气中主要含有</w:t>
            </w:r>
            <w:r>
              <w:rPr>
                <w:rFonts w:ascii="Times New Roman" w:hAnsi="Times New Roman" w:eastAsia="宋体" w:cs="Times New Roman"/>
                <w:bCs/>
                <w:sz w:val="24"/>
                <w:szCs w:val="24"/>
              </w:rPr>
              <w:t xml:space="preserve"> CO、NOx、非甲烷总等有害气体。汽车在厂区的运行过程中排放的尾气属无组织排放，本项目所在地空气流通迅速，污染物扩散条件好，汽车运行过程中排放的汽车尾气中各项污染物量小且排放浓度很低，对周围环境</w:t>
            </w:r>
            <w:r>
              <w:rPr>
                <w:rFonts w:hint="eastAsia" w:ascii="Times New Roman" w:hAnsi="Times New Roman" w:eastAsia="宋体" w:cs="Times New Roman"/>
                <w:bCs/>
                <w:sz w:val="24"/>
                <w:szCs w:val="24"/>
              </w:rPr>
              <w:t>影响较小。</w:t>
            </w:r>
          </w:p>
          <w:p>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（3）污染防治措施可行性分析</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由于本项目行业类别没有专门的排污许可技术规范，本次参考《排污许可证申请与核发技术规范煤炭加工—合成气和液体燃料生产》（H</w:t>
            </w:r>
            <w:r>
              <w:rPr>
                <w:rFonts w:ascii="Times New Roman" w:hAnsi="Times New Roman" w:eastAsia="宋体" w:cs="Times New Roman"/>
                <w:bCs/>
                <w:sz w:val="24"/>
                <w:szCs w:val="24"/>
              </w:rPr>
              <w:t>J 1101-2020</w:t>
            </w:r>
            <w:r>
              <w:rPr>
                <w:rFonts w:hint="eastAsia" w:ascii="Times New Roman" w:hAnsi="Times New Roman" w:eastAsia="宋体" w:cs="Times New Roman"/>
                <w:bCs/>
                <w:sz w:val="24"/>
                <w:szCs w:val="24"/>
              </w:rPr>
              <w:t>）中关于煤炭运输和堆存可行性技术分析可知，洒水降尘和密闭均为可行性技术，故本项目采取的大气污染防治措施可行。</w:t>
            </w:r>
          </w:p>
          <w:p>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（4）自行监测</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根据《固定污染源排污许可分类管理名录（2019年版）》（生态环境部令第11号）文件可知，本项目属于管理名录中的登记管理企业，根据《关于印发&lt;固定污染源排污登记工作指南（试行）&gt;的通知》已经明确了排污单位登记内容，对登记管理排污单位不做台账、自行监测和执行报告等要求。所以本次评价不做自行监测计划要求。</w:t>
            </w:r>
          </w:p>
          <w:p>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5</w:t>
            </w:r>
            <w:r>
              <w:rPr>
                <w:rFonts w:hint="eastAsia" w:ascii="Times New Roman" w:hAnsi="Times New Roman" w:eastAsia="宋体" w:cs="Times New Roman"/>
                <w:b/>
                <w:sz w:val="24"/>
                <w:szCs w:val="24"/>
              </w:rPr>
              <w:t>）大气环境影响评价结论</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本项目所在区域的环境空气质量为达标区。</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本项目大气污染物排放量较小，对大气环境影响较小，本项目废气治理采取了可行性技术，确保达标排放，对区域大气环境影响较小。</w:t>
            </w:r>
          </w:p>
          <w:p>
            <w:pPr>
              <w:spacing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2、运营期废水环境影响及防治措施</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经过前文产排污分析,</w:t>
            </w:r>
            <w:r>
              <w:rPr>
                <w:rFonts w:hint="eastAsia"/>
              </w:rPr>
              <w:t xml:space="preserve"> </w:t>
            </w:r>
            <w:r>
              <w:rPr>
                <w:rFonts w:hint="eastAsia" w:ascii="Times New Roman" w:hAnsi="Times New Roman" w:eastAsia="宋体" w:cs="Times New Roman"/>
                <w:sz w:val="24"/>
              </w:rPr>
              <w:t>本项目废水主要为职工的生活废水、煤炭区域喷淋及道路洒水产生的废水、洗车废水以及厂区初期雨水。</w:t>
            </w:r>
          </w:p>
          <w:p>
            <w:pPr>
              <w:spacing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（1）废水源强计算</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①生活废水</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由前文可知，生活废水排放量为</w:t>
            </w:r>
            <w:r>
              <w:rPr>
                <w:rFonts w:ascii="Times New Roman" w:hAnsi="Times New Roman" w:eastAsia="宋体" w:cs="Times New Roman"/>
                <w:bCs/>
                <w:sz w:val="24"/>
                <w:szCs w:val="24"/>
              </w:rPr>
              <w:t>0.8t/d</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240t/a</w:t>
            </w:r>
            <w:r>
              <w:rPr>
                <w:rFonts w:hint="eastAsia" w:ascii="Times New Roman" w:hAnsi="Times New Roman" w:eastAsia="宋体" w:cs="Times New Roman"/>
                <w:bCs/>
                <w:sz w:val="24"/>
                <w:szCs w:val="24"/>
              </w:rPr>
              <w:t>。生活废水中主要污染物为C</w:t>
            </w:r>
            <w:r>
              <w:rPr>
                <w:rFonts w:ascii="Times New Roman" w:hAnsi="Times New Roman" w:eastAsia="宋体" w:cs="Times New Roman"/>
                <w:bCs/>
                <w:sz w:val="24"/>
                <w:szCs w:val="24"/>
              </w:rPr>
              <w:t>OD</w:t>
            </w:r>
            <w:r>
              <w:rPr>
                <w:rFonts w:hint="eastAsia" w:ascii="Times New Roman" w:hAnsi="Times New Roman" w:eastAsia="宋体" w:cs="Times New Roman"/>
                <w:bCs/>
                <w:sz w:val="24"/>
                <w:szCs w:val="24"/>
              </w:rPr>
              <w:t>、B</w:t>
            </w:r>
            <w:r>
              <w:rPr>
                <w:rFonts w:ascii="Times New Roman" w:hAnsi="Times New Roman" w:eastAsia="宋体" w:cs="Times New Roman"/>
                <w:bCs/>
                <w:sz w:val="24"/>
                <w:szCs w:val="24"/>
              </w:rPr>
              <w:t>OD5</w:t>
            </w:r>
            <w:r>
              <w:rPr>
                <w:rFonts w:hint="eastAsia" w:ascii="Times New Roman" w:hAnsi="Times New Roman" w:eastAsia="宋体" w:cs="Times New Roman"/>
                <w:bCs/>
                <w:sz w:val="24"/>
                <w:szCs w:val="24"/>
              </w:rPr>
              <w:t>、S</w:t>
            </w:r>
            <w:r>
              <w:rPr>
                <w:rFonts w:ascii="Times New Roman" w:hAnsi="Times New Roman" w:eastAsia="宋体" w:cs="Times New Roman"/>
                <w:bCs/>
                <w:sz w:val="24"/>
                <w:szCs w:val="24"/>
              </w:rPr>
              <w:t>S</w:t>
            </w:r>
            <w:r>
              <w:rPr>
                <w:rFonts w:hint="eastAsia" w:ascii="Times New Roman" w:hAnsi="Times New Roman" w:eastAsia="宋体" w:cs="Times New Roman"/>
                <w:bCs/>
                <w:sz w:val="24"/>
                <w:szCs w:val="24"/>
              </w:rPr>
              <w:t>和氨氮。参考《给排水设计手册》（第五册城镇排水）典型生活污水水质示例，本项目生活污水中主要污染指标浓度取值为：C</w:t>
            </w:r>
            <w:r>
              <w:rPr>
                <w:rFonts w:ascii="Times New Roman" w:hAnsi="Times New Roman" w:eastAsia="宋体" w:cs="Times New Roman"/>
                <w:bCs/>
                <w:sz w:val="24"/>
                <w:szCs w:val="24"/>
              </w:rPr>
              <w:t>OD300mg/L</w:t>
            </w:r>
            <w:r>
              <w:rPr>
                <w:rFonts w:hint="eastAsia" w:ascii="Times New Roman" w:hAnsi="Times New Roman" w:eastAsia="宋体" w:cs="Times New Roman"/>
                <w:bCs/>
                <w:sz w:val="24"/>
                <w:szCs w:val="24"/>
              </w:rPr>
              <w:t>、B</w:t>
            </w:r>
            <w:r>
              <w:rPr>
                <w:rFonts w:ascii="Times New Roman" w:hAnsi="Times New Roman" w:eastAsia="宋体" w:cs="Times New Roman"/>
                <w:bCs/>
                <w:sz w:val="24"/>
                <w:szCs w:val="24"/>
              </w:rPr>
              <w:t>OD</w:t>
            </w:r>
            <w:r>
              <w:rPr>
                <w:rFonts w:ascii="Times New Roman" w:hAnsi="Times New Roman" w:eastAsia="宋体" w:cs="Times New Roman"/>
                <w:bCs/>
                <w:sz w:val="24"/>
                <w:szCs w:val="24"/>
                <w:vertAlign w:val="subscript"/>
              </w:rPr>
              <w:t>5</w:t>
            </w:r>
            <w:r>
              <w:rPr>
                <w:rFonts w:ascii="Times New Roman" w:hAnsi="Times New Roman" w:eastAsia="宋体" w:cs="Times New Roman"/>
                <w:bCs/>
                <w:sz w:val="24"/>
                <w:szCs w:val="24"/>
              </w:rPr>
              <w:t>150 mg/L</w:t>
            </w:r>
            <w:r>
              <w:rPr>
                <w:rFonts w:hint="eastAsia" w:ascii="Times New Roman" w:hAnsi="Times New Roman" w:eastAsia="宋体" w:cs="Times New Roman"/>
                <w:bCs/>
                <w:sz w:val="24"/>
                <w:szCs w:val="24"/>
              </w:rPr>
              <w:t>、S</w:t>
            </w:r>
            <w:r>
              <w:rPr>
                <w:rFonts w:ascii="Times New Roman" w:hAnsi="Times New Roman" w:eastAsia="宋体" w:cs="Times New Roman"/>
                <w:bCs/>
                <w:sz w:val="24"/>
                <w:szCs w:val="24"/>
              </w:rPr>
              <w:t>S200 mg/L</w:t>
            </w:r>
            <w:r>
              <w:rPr>
                <w:rFonts w:hint="eastAsia" w:ascii="Times New Roman" w:hAnsi="Times New Roman" w:eastAsia="宋体" w:cs="Times New Roman"/>
                <w:bCs/>
                <w:sz w:val="24"/>
                <w:szCs w:val="24"/>
              </w:rPr>
              <w:t>、N</w:t>
            </w:r>
            <w:r>
              <w:rPr>
                <w:rFonts w:ascii="Times New Roman" w:hAnsi="Times New Roman" w:eastAsia="宋体" w:cs="Times New Roman"/>
                <w:bCs/>
                <w:sz w:val="24"/>
                <w:szCs w:val="24"/>
              </w:rPr>
              <w:t>H</w:t>
            </w:r>
            <w:r>
              <w:rPr>
                <w:rFonts w:ascii="Times New Roman" w:hAnsi="Times New Roman" w:eastAsia="宋体" w:cs="Times New Roman"/>
                <w:bCs/>
                <w:sz w:val="24"/>
                <w:szCs w:val="24"/>
                <w:vertAlign w:val="subscript"/>
              </w:rPr>
              <w:t>3</w:t>
            </w:r>
            <w:r>
              <w:rPr>
                <w:rFonts w:ascii="Times New Roman" w:hAnsi="Times New Roman" w:eastAsia="宋体" w:cs="Times New Roman"/>
                <w:bCs/>
                <w:sz w:val="24"/>
                <w:szCs w:val="24"/>
              </w:rPr>
              <w:t>-N25 mg/L</w:t>
            </w:r>
            <w:r>
              <w:rPr>
                <w:rFonts w:hint="eastAsia" w:ascii="Times New Roman" w:hAnsi="Times New Roman" w:eastAsia="宋体" w:cs="Times New Roman"/>
                <w:bCs/>
                <w:sz w:val="24"/>
                <w:szCs w:val="24"/>
              </w:rPr>
              <w:t>。本项目生活废水经化粪池预处理达标后用于周边农灌。</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②煤炭区域喷淋及道路洒水产生的废水</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煤炭区域喷淋及道路洒水产生的废水，该部分废水经过自然蒸发后基本无废水外排。</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③洗车废水</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本项目设置一处洗车台，仅对进出厂区车辆车轮提供清洗服务，不进行整车清洗。根据单位提供资料，运输煤炭车轮为1</w:t>
            </w:r>
            <w:r>
              <w:rPr>
                <w:rFonts w:ascii="Times New Roman" w:hAnsi="Times New Roman" w:eastAsia="宋体" w:cs="Times New Roman"/>
                <w:sz w:val="24"/>
                <w:szCs w:val="24"/>
              </w:rPr>
              <w:t>0</w:t>
            </w:r>
            <w:r>
              <w:rPr>
                <w:rFonts w:hint="eastAsia" w:ascii="Times New Roman" w:hAnsi="Times New Roman" w:eastAsia="宋体" w:cs="Times New Roman"/>
                <w:sz w:val="24"/>
                <w:szCs w:val="24"/>
              </w:rPr>
              <w:t>车次/d，车轮冲洗用水定额为2</w:t>
            </w:r>
            <w:r>
              <w:rPr>
                <w:rFonts w:ascii="Times New Roman" w:hAnsi="Times New Roman" w:eastAsia="宋体" w:cs="Times New Roman"/>
                <w:sz w:val="24"/>
                <w:szCs w:val="24"/>
              </w:rPr>
              <w:t>0L</w:t>
            </w:r>
            <w:r>
              <w:rPr>
                <w:rFonts w:hint="eastAsia" w:ascii="Times New Roman" w:hAnsi="Times New Roman" w:eastAsia="宋体" w:cs="Times New Roman"/>
                <w:sz w:val="24"/>
                <w:szCs w:val="24"/>
              </w:rPr>
              <w:t>/车次，故车辆车轮清洗用水量为0</w:t>
            </w:r>
            <w:r>
              <w:rPr>
                <w:rFonts w:ascii="Times New Roman" w:hAnsi="Times New Roman" w:eastAsia="宋体" w:cs="Times New Roman"/>
                <w:sz w:val="24"/>
                <w:szCs w:val="24"/>
              </w:rPr>
              <w:t>.2m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w:t>
            </w:r>
            <w:r>
              <w:rPr>
                <w:rFonts w:hint="eastAsia" w:ascii="Times New Roman" w:hAnsi="Times New Roman" w:eastAsia="宋体" w:cs="Times New Roman"/>
                <w:sz w:val="24"/>
                <w:szCs w:val="24"/>
              </w:rPr>
              <w:t>（1</w:t>
            </w:r>
            <w:r>
              <w:rPr>
                <w:rFonts w:ascii="Times New Roman" w:hAnsi="Times New Roman" w:eastAsia="宋体" w:cs="Times New Roman"/>
                <w:sz w:val="24"/>
                <w:szCs w:val="24"/>
              </w:rPr>
              <w:t>20 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w:t>
            </w:r>
            <w:r>
              <w:rPr>
                <w:rFonts w:hint="eastAsia" w:ascii="Times New Roman" w:hAnsi="Times New Roman" w:eastAsia="宋体" w:cs="Times New Roman"/>
                <w:sz w:val="24"/>
                <w:szCs w:val="24"/>
              </w:rPr>
              <w:t>a）。洗车废水经过自建沉淀池（</w:t>
            </w:r>
            <w:r>
              <w:rPr>
                <w:rFonts w:ascii="Times New Roman" w:hAnsi="Times New Roman" w:eastAsia="宋体" w:cs="Times New Roman"/>
                <w:sz w:val="24"/>
                <w:szCs w:val="24"/>
              </w:rPr>
              <w:t>合计56m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大小）沉淀后循环使用</w:t>
            </w:r>
            <w:r>
              <w:rPr>
                <w:rFonts w:hint="eastAsia" w:ascii="Times New Roman" w:hAnsi="Times New Roman" w:eastAsia="宋体" w:cs="Times New Roman"/>
                <w:sz w:val="24"/>
                <w:szCs w:val="24"/>
              </w:rPr>
              <w:t>，不外排</w:t>
            </w:r>
            <w:r>
              <w:rPr>
                <w:rFonts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④初期雨水</w:t>
            </w:r>
          </w:p>
          <w:p>
            <w:pPr>
              <w:spacing w:line="360" w:lineRule="auto"/>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项目厂区地面全部为硬化地面，贮存及运输过程中，可能有各种污染物滴漏、散落，当下雨时形成地表径流，污染物会随径流带入周边的水体，造成一定的环境污染。参考同类项目，初期雨水主要污染物及浓度为SS、重金属等，直接排放会对周边水环境造成一定的冲击。</w:t>
            </w:r>
          </w:p>
          <w:p>
            <w:pPr>
              <w:spacing w:line="360" w:lineRule="auto"/>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由于项目变更前后占地面积不变，雨水集雨面积同样不变，故雨水产生量参考原环评计算结果，采用郴州市暴雨强度公式：</w:t>
            </w:r>
          </w:p>
          <w:p>
            <w:pPr>
              <w:spacing w:line="360" w:lineRule="auto"/>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q=1510.7*（1+0.514lgP）/（t+0.9</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vertAlign w:val="superscript"/>
                <w:lang w:val="zh-CN"/>
              </w:rPr>
              <w:t>0.64</w:t>
            </w:r>
          </w:p>
          <w:p>
            <w:pPr>
              <w:spacing w:line="360" w:lineRule="auto"/>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Q=Ψ*q*F</w:t>
            </w:r>
          </w:p>
          <w:p>
            <w:pPr>
              <w:spacing w:line="360" w:lineRule="auto"/>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式中：Q</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设计雨水流量(升/秒)</w:t>
            </w:r>
          </w:p>
          <w:p>
            <w:pPr>
              <w:spacing w:line="360" w:lineRule="auto"/>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Ψ</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径流系数，取0.65</w:t>
            </w:r>
          </w:p>
          <w:p>
            <w:pPr>
              <w:spacing w:line="360" w:lineRule="auto"/>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F</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设计管(渠)段汇水面积(公顷)</w:t>
            </w:r>
            <w:r>
              <w:rPr>
                <w:rFonts w:hint="eastAsia" w:ascii="Times New Roman" w:hAnsi="Times New Roman" w:eastAsia="宋体" w:cs="Times New Roman"/>
                <w:kern w:val="0"/>
                <w:sz w:val="24"/>
                <w:szCs w:val="24"/>
                <w:lang w:val="zh-CN"/>
              </w:rPr>
              <w:t>，道路及场地面积约为</w:t>
            </w:r>
            <w:r>
              <w:rPr>
                <w:rFonts w:ascii="Times New Roman" w:hAnsi="Times New Roman" w:eastAsia="宋体" w:cs="Times New Roman"/>
                <w:kern w:val="0"/>
                <w:sz w:val="24"/>
                <w:szCs w:val="24"/>
                <w:lang w:val="zh-CN"/>
              </w:rPr>
              <w:t>0.707</w:t>
            </w:r>
            <w:r>
              <w:rPr>
                <w:rFonts w:hint="eastAsia" w:ascii="Times New Roman" w:hAnsi="Times New Roman" w:eastAsia="宋体" w:cs="Times New Roman"/>
                <w:kern w:val="0"/>
                <w:sz w:val="24"/>
                <w:szCs w:val="24"/>
                <w:lang w:val="zh-CN"/>
              </w:rPr>
              <w:t>公顷。</w:t>
            </w:r>
          </w:p>
          <w:p>
            <w:pPr>
              <w:spacing w:line="360" w:lineRule="auto"/>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q</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暴雨强度(升</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秒</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公顷)</w:t>
            </w:r>
          </w:p>
          <w:p>
            <w:pPr>
              <w:spacing w:line="360" w:lineRule="auto"/>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P</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设计重现期，取P=</w:t>
            </w:r>
            <w:r>
              <w:rPr>
                <w:rFonts w:hint="eastAsia" w:ascii="Times New Roman" w:hAnsi="Times New Roman" w:eastAsia="宋体" w:cs="Times New Roman"/>
                <w:kern w:val="0"/>
                <w:sz w:val="24"/>
                <w:szCs w:val="24"/>
                <w:lang w:val="zh-CN"/>
              </w:rPr>
              <w:t>3</w:t>
            </w:r>
            <w:r>
              <w:rPr>
                <w:rFonts w:ascii="Times New Roman" w:hAnsi="Times New Roman" w:eastAsia="宋体" w:cs="Times New Roman"/>
                <w:kern w:val="0"/>
                <w:sz w:val="24"/>
                <w:szCs w:val="24"/>
                <w:lang w:val="zh-CN"/>
              </w:rPr>
              <w:t>(年)</w:t>
            </w:r>
          </w:p>
          <w:p>
            <w:pPr>
              <w:spacing w:line="360" w:lineRule="auto"/>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t</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降雨历时(</w:t>
            </w:r>
            <w:r>
              <w:rPr>
                <w:rFonts w:hint="eastAsia" w:ascii="Times New Roman" w:hAnsi="Times New Roman" w:eastAsia="宋体" w:cs="Times New Roman"/>
                <w:kern w:val="0"/>
                <w:sz w:val="24"/>
                <w:szCs w:val="24"/>
                <w:lang w:val="zh-CN"/>
              </w:rPr>
              <w:t>min</w:t>
            </w:r>
            <w:r>
              <w:rPr>
                <w:rFonts w:ascii="Times New Roman" w:hAnsi="Times New Roman" w:eastAsia="宋体" w:cs="Times New Roman"/>
                <w:kern w:val="0"/>
                <w:sz w:val="24"/>
                <w:szCs w:val="24"/>
                <w:lang w:val="zh-CN"/>
              </w:rPr>
              <w:t>)</w:t>
            </w:r>
            <w:r>
              <w:rPr>
                <w:rFonts w:hint="eastAsia" w:ascii="Times New Roman" w:hAnsi="Times New Roman" w:eastAsia="宋体" w:cs="Times New Roman"/>
                <w:kern w:val="0"/>
                <w:sz w:val="24"/>
                <w:szCs w:val="24"/>
                <w:lang w:val="zh-CN"/>
              </w:rPr>
              <w:t xml:space="preserve">，取60min </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经计算</w:t>
            </w:r>
            <w:r>
              <w:rPr>
                <w:rFonts w:ascii="Times New Roman" w:hAnsi="Times New Roman" w:eastAsia="宋体" w:cs="Times New Roman"/>
                <w:kern w:val="0"/>
                <w:sz w:val="24"/>
                <w:szCs w:val="24"/>
              </w:rPr>
              <w:t>厂区设计雨水总量为</w:t>
            </w:r>
            <w:r>
              <w:rPr>
                <w:rFonts w:hint="eastAsia" w:ascii="Times New Roman" w:hAnsi="Times New Roman" w:eastAsia="宋体" w:cs="Times New Roman"/>
                <w:kern w:val="0"/>
                <w:sz w:val="24"/>
                <w:szCs w:val="24"/>
              </w:rPr>
              <w:t>：33.44</w:t>
            </w:r>
            <w:r>
              <w:rPr>
                <w:rFonts w:ascii="Times New Roman" w:hAnsi="Times New Roman" w:eastAsia="宋体" w:cs="Times New Roman"/>
                <w:kern w:val="0"/>
                <w:sz w:val="24"/>
                <w:szCs w:val="24"/>
              </w:rPr>
              <w:t>L/s，</w:t>
            </w:r>
            <w:r>
              <w:rPr>
                <w:rFonts w:hint="eastAsia" w:ascii="Times New Roman" w:hAnsi="Times New Roman" w:eastAsia="宋体" w:cs="Times New Roman"/>
                <w:kern w:val="0"/>
                <w:sz w:val="24"/>
                <w:szCs w:val="24"/>
              </w:rPr>
              <w:t>每次暴雨天气可收集初期雨水</w:t>
            </w: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20m</w:t>
            </w:r>
            <w:r>
              <w:rPr>
                <w:rFonts w:hint="eastAsia" w:ascii="Times New Roman" w:hAnsi="Times New Roman" w:eastAsia="宋体" w:cs="Times New Roman"/>
                <w:kern w:val="0"/>
                <w:sz w:val="24"/>
                <w:szCs w:val="24"/>
                <w:vertAlign w:val="superscript"/>
              </w:rPr>
              <w:t>3</w:t>
            </w:r>
            <w:r>
              <w:rPr>
                <w:rFonts w:hint="eastAsia" w:ascii="Times New Roman" w:hAnsi="Times New Roman" w:eastAsia="宋体" w:cs="Times New Roman"/>
                <w:kern w:val="0"/>
                <w:sz w:val="24"/>
                <w:szCs w:val="24"/>
              </w:rPr>
              <w:t>，为满足初期雨水收集需要，结合厂区地势情况，公司拟建设一3</w:t>
            </w:r>
            <w:r>
              <w:rPr>
                <w:rFonts w:ascii="Times New Roman" w:hAnsi="Times New Roman" w:eastAsia="宋体" w:cs="Times New Roman"/>
                <w:kern w:val="0"/>
                <w:sz w:val="24"/>
                <w:szCs w:val="24"/>
              </w:rPr>
              <w:t>00</w:t>
            </w:r>
            <w:r>
              <w:rPr>
                <w:rFonts w:hint="eastAsia" w:ascii="Times New Roman" w:hAnsi="Times New Roman" w:eastAsia="宋体" w:cs="Times New Roman"/>
                <w:kern w:val="0"/>
                <w:sz w:val="24"/>
                <w:szCs w:val="24"/>
              </w:rPr>
              <w:t xml:space="preserve"> m</w:t>
            </w:r>
            <w:r>
              <w:rPr>
                <w:rFonts w:hint="eastAsia" w:ascii="Times New Roman" w:hAnsi="Times New Roman" w:eastAsia="宋体" w:cs="Times New Roman"/>
                <w:kern w:val="0"/>
                <w:sz w:val="24"/>
                <w:szCs w:val="24"/>
                <w:vertAlign w:val="superscript"/>
              </w:rPr>
              <w:t>3</w:t>
            </w:r>
            <w:r>
              <w:rPr>
                <w:rFonts w:hint="eastAsia" w:ascii="Times New Roman" w:hAnsi="Times New Roman" w:eastAsia="宋体" w:cs="Times New Roman"/>
                <w:kern w:val="0"/>
                <w:sz w:val="24"/>
                <w:szCs w:val="24"/>
              </w:rPr>
              <w:t>初期雨水沉淀池，正常情况下初期雨水沉淀后回用于厂区洒水降尘，暴雨情况多余雨水可经过沉淀后满足《废水综合排放标准》（G</w:t>
            </w:r>
            <w:r>
              <w:rPr>
                <w:rFonts w:ascii="Times New Roman" w:hAnsi="Times New Roman" w:eastAsia="宋体" w:cs="Times New Roman"/>
                <w:kern w:val="0"/>
                <w:sz w:val="24"/>
                <w:szCs w:val="24"/>
              </w:rPr>
              <w:t>B8978-1996</w:t>
            </w:r>
            <w:r>
              <w:rPr>
                <w:rFonts w:hint="eastAsia" w:ascii="Times New Roman" w:hAnsi="Times New Roman" w:eastAsia="宋体" w:cs="Times New Roman"/>
                <w:kern w:val="0"/>
                <w:sz w:val="24"/>
                <w:szCs w:val="24"/>
              </w:rPr>
              <w:t>）表2一级排放标准后达标排放。</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项目废水类别、污染物及污染治理设施信息见表</w:t>
            </w:r>
            <w:r>
              <w:rPr>
                <w:rFonts w:ascii="Times New Roman" w:hAnsi="Times New Roman" w:eastAsia="宋体" w:cs="Times New Roman"/>
                <w:kern w:val="0"/>
                <w:sz w:val="24"/>
                <w:szCs w:val="24"/>
              </w:rPr>
              <w:t>4-4。</w:t>
            </w:r>
          </w:p>
          <w:p>
            <w:pPr>
              <w:spacing w:after="120"/>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表4-4 废水类别、污染物及污染治理设施信息表</w:t>
            </w:r>
          </w:p>
          <w:tbl>
            <w:tblPr>
              <w:tblStyle w:val="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603"/>
              <w:gridCol w:w="870"/>
              <w:gridCol w:w="715"/>
              <w:gridCol w:w="604"/>
              <w:gridCol w:w="503"/>
              <w:gridCol w:w="955"/>
              <w:gridCol w:w="875"/>
              <w:gridCol w:w="800"/>
              <w:gridCol w:w="886"/>
              <w:gridCol w:w="9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restart"/>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序号</w:t>
                  </w:r>
                </w:p>
              </w:tc>
              <w:tc>
                <w:tcPr>
                  <w:tcW w:w="603" w:type="dxa"/>
                  <w:vMerge w:val="restart"/>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废水</w:t>
                  </w:r>
                </w:p>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类别</w:t>
                  </w:r>
                </w:p>
              </w:tc>
              <w:tc>
                <w:tcPr>
                  <w:tcW w:w="870" w:type="dxa"/>
                  <w:vMerge w:val="restart"/>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污染物</w:t>
                  </w:r>
                </w:p>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种类</w:t>
                  </w:r>
                </w:p>
              </w:tc>
              <w:tc>
                <w:tcPr>
                  <w:tcW w:w="715" w:type="dxa"/>
                  <w:vMerge w:val="restart"/>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排放</w:t>
                  </w:r>
                </w:p>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去向</w:t>
                  </w:r>
                </w:p>
              </w:tc>
              <w:tc>
                <w:tcPr>
                  <w:tcW w:w="604" w:type="dxa"/>
                  <w:vMerge w:val="restart"/>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排放</w:t>
                  </w:r>
                </w:p>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规律</w:t>
                  </w:r>
                </w:p>
              </w:tc>
              <w:tc>
                <w:tcPr>
                  <w:tcW w:w="2333" w:type="dxa"/>
                  <w:gridSpan w:val="3"/>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污染治理设施</w:t>
                  </w:r>
                </w:p>
              </w:tc>
              <w:tc>
                <w:tcPr>
                  <w:tcW w:w="794" w:type="dxa"/>
                  <w:vMerge w:val="restart"/>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排放口编号</w:t>
                  </w:r>
                </w:p>
              </w:tc>
              <w:tc>
                <w:tcPr>
                  <w:tcW w:w="886" w:type="dxa"/>
                  <w:vMerge w:val="restart"/>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排放口设置是否符合要求</w:t>
                  </w:r>
                </w:p>
              </w:tc>
              <w:tc>
                <w:tcPr>
                  <w:tcW w:w="941" w:type="dxa"/>
                  <w:vMerge w:val="restart"/>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排放口</w:t>
                  </w:r>
                </w:p>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pPr>
                    <w:adjustRightInd w:val="0"/>
                    <w:snapToGrid w:val="0"/>
                    <w:jc w:val="center"/>
                    <w:rPr>
                      <w:rFonts w:ascii="Times New Roman" w:hAnsi="Times New Roman" w:eastAsia="宋体" w:cs="Times New Roman"/>
                      <w:color w:val="000000"/>
                      <w:szCs w:val="21"/>
                    </w:rPr>
                  </w:pPr>
                </w:p>
              </w:tc>
              <w:tc>
                <w:tcPr>
                  <w:tcW w:w="603" w:type="dxa"/>
                  <w:vMerge w:val="continue"/>
                  <w:vAlign w:val="center"/>
                </w:tcPr>
                <w:p>
                  <w:pPr>
                    <w:adjustRightInd w:val="0"/>
                    <w:snapToGrid w:val="0"/>
                    <w:jc w:val="center"/>
                    <w:rPr>
                      <w:rFonts w:ascii="Times New Roman" w:hAnsi="Times New Roman" w:eastAsia="宋体" w:cs="Times New Roman"/>
                      <w:color w:val="000000"/>
                      <w:szCs w:val="21"/>
                    </w:rPr>
                  </w:pPr>
                </w:p>
              </w:tc>
              <w:tc>
                <w:tcPr>
                  <w:tcW w:w="870" w:type="dxa"/>
                  <w:vMerge w:val="continue"/>
                  <w:vAlign w:val="center"/>
                </w:tcPr>
                <w:p>
                  <w:pPr>
                    <w:adjustRightInd w:val="0"/>
                    <w:snapToGrid w:val="0"/>
                    <w:jc w:val="center"/>
                    <w:rPr>
                      <w:rFonts w:ascii="Times New Roman" w:hAnsi="Times New Roman" w:eastAsia="宋体" w:cs="Times New Roman"/>
                      <w:color w:val="000000"/>
                      <w:szCs w:val="21"/>
                    </w:rPr>
                  </w:pPr>
                </w:p>
              </w:tc>
              <w:tc>
                <w:tcPr>
                  <w:tcW w:w="715" w:type="dxa"/>
                  <w:vMerge w:val="continue"/>
                  <w:vAlign w:val="center"/>
                </w:tcPr>
                <w:p>
                  <w:pPr>
                    <w:adjustRightInd w:val="0"/>
                    <w:snapToGrid w:val="0"/>
                    <w:jc w:val="center"/>
                    <w:rPr>
                      <w:rFonts w:ascii="Times New Roman" w:hAnsi="Times New Roman" w:eastAsia="宋体" w:cs="Times New Roman"/>
                      <w:color w:val="000000"/>
                      <w:szCs w:val="21"/>
                    </w:rPr>
                  </w:pPr>
                </w:p>
              </w:tc>
              <w:tc>
                <w:tcPr>
                  <w:tcW w:w="604" w:type="dxa"/>
                  <w:vMerge w:val="continue"/>
                  <w:vAlign w:val="center"/>
                </w:tcPr>
                <w:p>
                  <w:pPr>
                    <w:adjustRightInd w:val="0"/>
                    <w:snapToGrid w:val="0"/>
                    <w:jc w:val="center"/>
                    <w:rPr>
                      <w:rFonts w:ascii="Times New Roman" w:hAnsi="Times New Roman" w:eastAsia="宋体" w:cs="Times New Roman"/>
                      <w:color w:val="000000"/>
                      <w:szCs w:val="21"/>
                    </w:rPr>
                  </w:pPr>
                </w:p>
              </w:tc>
              <w:tc>
                <w:tcPr>
                  <w:tcW w:w="503" w:type="dxa"/>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编号</w:t>
                  </w:r>
                </w:p>
              </w:tc>
              <w:tc>
                <w:tcPr>
                  <w:tcW w:w="955" w:type="dxa"/>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名称</w:t>
                  </w:r>
                </w:p>
              </w:tc>
              <w:tc>
                <w:tcPr>
                  <w:tcW w:w="875" w:type="dxa"/>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工艺</w:t>
                  </w:r>
                </w:p>
              </w:tc>
              <w:tc>
                <w:tcPr>
                  <w:tcW w:w="794" w:type="dxa"/>
                  <w:vMerge w:val="continue"/>
                  <w:vAlign w:val="center"/>
                </w:tcPr>
                <w:p>
                  <w:pPr>
                    <w:adjustRightInd w:val="0"/>
                    <w:snapToGrid w:val="0"/>
                    <w:jc w:val="center"/>
                    <w:rPr>
                      <w:rFonts w:ascii="Times New Roman" w:hAnsi="Times New Roman" w:eastAsia="宋体" w:cs="Times New Roman"/>
                      <w:color w:val="000000"/>
                      <w:szCs w:val="21"/>
                    </w:rPr>
                  </w:pPr>
                </w:p>
              </w:tc>
              <w:tc>
                <w:tcPr>
                  <w:tcW w:w="886" w:type="dxa"/>
                  <w:vMerge w:val="continue"/>
                  <w:vAlign w:val="center"/>
                </w:tcPr>
                <w:p>
                  <w:pPr>
                    <w:adjustRightInd w:val="0"/>
                    <w:snapToGrid w:val="0"/>
                    <w:jc w:val="center"/>
                    <w:rPr>
                      <w:rFonts w:ascii="Times New Roman" w:hAnsi="Times New Roman" w:eastAsia="宋体" w:cs="Times New Roman"/>
                      <w:color w:val="000000"/>
                      <w:szCs w:val="21"/>
                    </w:rPr>
                  </w:pPr>
                </w:p>
              </w:tc>
              <w:tc>
                <w:tcPr>
                  <w:tcW w:w="941" w:type="dxa"/>
                  <w:vMerge w:val="continue"/>
                  <w:vAlign w:val="center"/>
                </w:tcPr>
                <w:p>
                  <w:pPr>
                    <w:adjustRightInd w:val="0"/>
                    <w:snapToGrid w:val="0"/>
                    <w:jc w:val="center"/>
                    <w:rPr>
                      <w:rFonts w:ascii="Times New Roman" w:hAnsi="Times New Roman" w:eastAsia="宋体"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w:t>
                  </w:r>
                </w:p>
              </w:tc>
              <w:tc>
                <w:tcPr>
                  <w:tcW w:w="603"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生活污水</w:t>
                  </w:r>
                </w:p>
              </w:tc>
              <w:tc>
                <w:tcPr>
                  <w:tcW w:w="870"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COD、</w:t>
                  </w:r>
                </w:p>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SS、BOD</w:t>
                  </w:r>
                  <w:r>
                    <w:rPr>
                      <w:rFonts w:ascii="Times New Roman" w:hAnsi="Times New Roman" w:eastAsia="宋体" w:cs="Times New Roman"/>
                      <w:color w:val="000000"/>
                      <w:szCs w:val="21"/>
                      <w:vertAlign w:val="subscript"/>
                    </w:rPr>
                    <w:t>5</w:t>
                  </w:r>
                </w:p>
              </w:tc>
              <w:tc>
                <w:tcPr>
                  <w:tcW w:w="715"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农灌</w:t>
                  </w:r>
                </w:p>
              </w:tc>
              <w:tc>
                <w:tcPr>
                  <w:tcW w:w="60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不外排</w:t>
                  </w:r>
                </w:p>
              </w:tc>
              <w:tc>
                <w:tcPr>
                  <w:tcW w:w="503"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w:t>
                  </w:r>
                </w:p>
              </w:tc>
              <w:tc>
                <w:tcPr>
                  <w:tcW w:w="955"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化粪池</w:t>
                  </w:r>
                </w:p>
              </w:tc>
              <w:tc>
                <w:tcPr>
                  <w:tcW w:w="875"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沉淀</w:t>
                  </w:r>
                </w:p>
              </w:tc>
              <w:tc>
                <w:tcPr>
                  <w:tcW w:w="794"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w:t>
                  </w:r>
                </w:p>
              </w:tc>
              <w:tc>
                <w:tcPr>
                  <w:tcW w:w="88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941"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w:t>
                  </w:r>
                </w:p>
              </w:tc>
              <w:tc>
                <w:tcPr>
                  <w:tcW w:w="603"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洗车废水</w:t>
                  </w:r>
                </w:p>
              </w:tc>
              <w:tc>
                <w:tcPr>
                  <w:tcW w:w="870"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S</w:t>
                  </w:r>
                  <w:r>
                    <w:rPr>
                      <w:rFonts w:ascii="Times New Roman" w:hAnsi="Times New Roman" w:eastAsia="宋体" w:cs="Times New Roman"/>
                      <w:color w:val="000000"/>
                      <w:szCs w:val="21"/>
                    </w:rPr>
                    <w:t xml:space="preserve">S </w:t>
                  </w:r>
                </w:p>
              </w:tc>
              <w:tc>
                <w:tcPr>
                  <w:tcW w:w="715" w:type="dxa"/>
                  <w:vAlign w:val="center"/>
                </w:tcPr>
                <w:p>
                  <w:pPr>
                    <w:adjustRightInd w:val="0"/>
                    <w:snapToGrid w:val="0"/>
                    <w:jc w:val="center"/>
                    <w:rPr>
                      <w:rFonts w:ascii="Times New Roman" w:hAnsi="Times New Roman" w:eastAsia="宋体" w:cs="Times New Roman"/>
                      <w:bCs/>
                      <w:color w:val="000000"/>
                      <w:kern w:val="24"/>
                      <w:szCs w:val="21"/>
                    </w:rPr>
                  </w:pPr>
                  <w:r>
                    <w:rPr>
                      <w:rFonts w:hint="eastAsia" w:ascii="Times New Roman" w:hAnsi="Times New Roman" w:eastAsia="宋体" w:cs="Times New Roman"/>
                      <w:bCs/>
                      <w:color w:val="000000"/>
                      <w:kern w:val="24"/>
                      <w:szCs w:val="21"/>
                    </w:rPr>
                    <w:t>回用</w:t>
                  </w:r>
                </w:p>
              </w:tc>
              <w:tc>
                <w:tcPr>
                  <w:tcW w:w="60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不外排</w:t>
                  </w:r>
                </w:p>
              </w:tc>
              <w:tc>
                <w:tcPr>
                  <w:tcW w:w="503"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955"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沉淀池</w:t>
                  </w:r>
                </w:p>
              </w:tc>
              <w:tc>
                <w:tcPr>
                  <w:tcW w:w="875"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沉淀</w:t>
                  </w:r>
                </w:p>
              </w:tc>
              <w:tc>
                <w:tcPr>
                  <w:tcW w:w="79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88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941"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3</w:t>
                  </w:r>
                </w:p>
              </w:tc>
              <w:tc>
                <w:tcPr>
                  <w:tcW w:w="603"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煤炭区域喷淋及道路洒水产生的废水</w:t>
                  </w:r>
                </w:p>
              </w:tc>
              <w:tc>
                <w:tcPr>
                  <w:tcW w:w="870"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S</w:t>
                  </w:r>
                  <w:r>
                    <w:rPr>
                      <w:rFonts w:ascii="Times New Roman" w:hAnsi="Times New Roman" w:eastAsia="宋体" w:cs="Times New Roman"/>
                      <w:color w:val="000000"/>
                      <w:szCs w:val="21"/>
                    </w:rPr>
                    <w:t>S</w:t>
                  </w:r>
                </w:p>
              </w:tc>
              <w:tc>
                <w:tcPr>
                  <w:tcW w:w="715" w:type="dxa"/>
                  <w:vAlign w:val="center"/>
                </w:tcPr>
                <w:p>
                  <w:pPr>
                    <w:adjustRightInd w:val="0"/>
                    <w:snapToGrid w:val="0"/>
                    <w:jc w:val="center"/>
                    <w:rPr>
                      <w:rFonts w:ascii="Times New Roman" w:hAnsi="Times New Roman" w:eastAsia="宋体" w:cs="Times New Roman"/>
                      <w:bCs/>
                      <w:color w:val="000000"/>
                      <w:kern w:val="24"/>
                      <w:szCs w:val="21"/>
                    </w:rPr>
                  </w:pPr>
                  <w:r>
                    <w:rPr>
                      <w:rFonts w:hint="eastAsia" w:ascii="Times New Roman" w:hAnsi="Times New Roman" w:eastAsia="宋体" w:cs="Times New Roman"/>
                      <w:bCs/>
                      <w:color w:val="000000"/>
                      <w:kern w:val="24"/>
                      <w:szCs w:val="21"/>
                    </w:rPr>
                    <w:t>自然蒸发</w:t>
                  </w:r>
                </w:p>
              </w:tc>
              <w:tc>
                <w:tcPr>
                  <w:tcW w:w="60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不外排</w:t>
                  </w:r>
                </w:p>
              </w:tc>
              <w:tc>
                <w:tcPr>
                  <w:tcW w:w="503"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955"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875"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79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88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941"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4</w:t>
                  </w:r>
                </w:p>
              </w:tc>
              <w:tc>
                <w:tcPr>
                  <w:tcW w:w="603"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初期雨水</w:t>
                  </w:r>
                </w:p>
              </w:tc>
              <w:tc>
                <w:tcPr>
                  <w:tcW w:w="870"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SS</w:t>
                  </w:r>
                </w:p>
              </w:tc>
              <w:tc>
                <w:tcPr>
                  <w:tcW w:w="715"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bCs/>
                      <w:color w:val="000000"/>
                      <w:kern w:val="24"/>
                      <w:szCs w:val="21"/>
                    </w:rPr>
                    <w:t>回用洒水降尘或达标排放</w:t>
                  </w:r>
                </w:p>
              </w:tc>
              <w:tc>
                <w:tcPr>
                  <w:tcW w:w="60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达标排放</w:t>
                  </w:r>
                </w:p>
              </w:tc>
              <w:tc>
                <w:tcPr>
                  <w:tcW w:w="503"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955"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沉淀池</w:t>
                  </w:r>
                </w:p>
              </w:tc>
              <w:tc>
                <w:tcPr>
                  <w:tcW w:w="875"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沉淀</w:t>
                  </w:r>
                </w:p>
              </w:tc>
              <w:tc>
                <w:tcPr>
                  <w:tcW w:w="794"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YS001</w:t>
                  </w:r>
                </w:p>
              </w:tc>
              <w:tc>
                <w:tcPr>
                  <w:tcW w:w="88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是</w:t>
                  </w:r>
                </w:p>
              </w:tc>
              <w:tc>
                <w:tcPr>
                  <w:tcW w:w="941"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r>
          </w:tbl>
          <w:p>
            <w:pPr>
              <w:spacing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（2）生活废水经化粪池预处理后用于周边农灌可行性分析</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项目生活用水排水量为</w:t>
            </w:r>
            <w:r>
              <w:rPr>
                <w:rFonts w:ascii="Times New Roman" w:hAnsi="Times New Roman" w:eastAsia="宋体" w:cs="Times New Roman"/>
                <w:sz w:val="24"/>
                <w:szCs w:val="24"/>
              </w:rPr>
              <w:t>0.8t/d</w:t>
            </w:r>
            <w:r>
              <w:rPr>
                <w:rFonts w:hint="eastAsia" w:ascii="Times New Roman" w:hAnsi="Times New Roman" w:eastAsia="宋体" w:cs="Times New Roman"/>
                <w:sz w:val="24"/>
                <w:szCs w:val="24"/>
              </w:rPr>
              <w:t>，</w:t>
            </w:r>
            <w:r>
              <w:rPr>
                <w:rFonts w:ascii="Times New Roman" w:hAnsi="Times New Roman" w:eastAsia="宋体" w:cs="Times New Roman"/>
                <w:sz w:val="24"/>
                <w:szCs w:val="24"/>
              </w:rPr>
              <w:t>240t/a</w:t>
            </w:r>
            <w:r>
              <w:rPr>
                <w:rFonts w:ascii="Times New Roman" w:hAnsi="Times New Roman" w:eastAsia="宋体" w:cs="Times New Roman"/>
                <w:sz w:val="24"/>
              </w:rPr>
              <w:t>，量比较小，项目所处位置为农村地区，据现场踏勘了解项目北面分布有大量农用地，当地村民常年种植农作物，项目生活污水经三级化粪池收集后熟化定期清掏，无偿</w:t>
            </w:r>
            <w:r>
              <w:rPr>
                <w:rFonts w:hint="eastAsia" w:ascii="Times New Roman" w:hAnsi="Times New Roman" w:eastAsia="宋体" w:cs="Times New Roman"/>
                <w:sz w:val="24"/>
              </w:rPr>
              <w:t>提供给附近农户作农肥使用。故本环评认为生活污水经化粪池处理后用于周边农灌可行。</w:t>
            </w:r>
          </w:p>
          <w:p>
            <w:pPr>
              <w:spacing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w:t>
            </w:r>
            <w:r>
              <w:rPr>
                <w:rFonts w:ascii="Times New Roman" w:hAnsi="Times New Roman" w:eastAsia="宋体" w:cs="Times New Roman"/>
                <w:b/>
                <w:bCs/>
                <w:sz w:val="24"/>
              </w:rPr>
              <w:t>3）自行监测要求</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根据《固定污染源排污许可分类管理名录（</w:t>
            </w:r>
            <w:r>
              <w:rPr>
                <w:rFonts w:ascii="Times New Roman" w:hAnsi="Times New Roman" w:eastAsia="宋体" w:cs="Times New Roman"/>
                <w:kern w:val="0"/>
                <w:sz w:val="24"/>
                <w:szCs w:val="24"/>
              </w:rPr>
              <w:t>2019年版）》（生态环境部令第11号）文件可知，本项目属于管理名录中的登记管理企业，根据《关于印发&lt;固定污染源排污登记工作指南（试行）&gt;的通知》已经明确了排污单位登记内容，对登记管理排污单位不做台账、自行监测和执行报告等要求。所以本次评价不做自行监测计划要求。</w:t>
            </w:r>
          </w:p>
          <w:p>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3、噪声环境影响及防治措施</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（1）噪声源强</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本项目噪声源主要为各种机械运行工作中产生的机械噪声，主要噪声设备情况见下表。</w:t>
            </w:r>
          </w:p>
          <w:p>
            <w:pPr>
              <w:autoSpaceDE w:val="0"/>
              <w:autoSpaceDN w:val="0"/>
              <w:spacing w:line="360" w:lineRule="auto"/>
              <w:ind w:right="42" w:rightChars="20" w:firstLine="482"/>
              <w:jc w:val="center"/>
              <w:rPr>
                <w:rFonts w:ascii="Times New Roman" w:hAnsi="Times New Roman" w:eastAsia="宋体" w:cs="Times New Roman"/>
                <w:b/>
                <w:sz w:val="24"/>
                <w:szCs w:val="21"/>
              </w:rPr>
            </w:pPr>
            <w:r>
              <w:rPr>
                <w:rFonts w:hint="eastAsia" w:ascii="Times New Roman" w:hAnsi="Times New Roman" w:eastAsia="宋体" w:cs="Times New Roman"/>
                <w:b/>
                <w:sz w:val="24"/>
                <w:szCs w:val="21"/>
              </w:rPr>
              <w:t>表4</w:t>
            </w:r>
            <w:r>
              <w:rPr>
                <w:rFonts w:ascii="Times New Roman" w:hAnsi="Times New Roman" w:eastAsia="宋体" w:cs="Times New Roman"/>
                <w:b/>
                <w:sz w:val="24"/>
                <w:szCs w:val="21"/>
              </w:rPr>
              <w:t xml:space="preserve">-5 </w:t>
            </w:r>
            <w:r>
              <w:rPr>
                <w:rFonts w:hint="eastAsia" w:ascii="Times New Roman" w:hAnsi="Times New Roman" w:eastAsia="宋体" w:cs="Times New Roman"/>
                <w:b/>
                <w:sz w:val="24"/>
                <w:szCs w:val="21"/>
              </w:rPr>
              <w:t>项目主要噪声设备情况一览表</w:t>
            </w:r>
          </w:p>
          <w:tbl>
            <w:tblPr>
              <w:tblStyle w:val="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1720"/>
              <w:gridCol w:w="2062"/>
              <w:gridCol w:w="31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93" w:hRule="atLeast"/>
                <w:jc w:val="center"/>
              </w:trPr>
              <w:tc>
                <w:tcPr>
                  <w:tcW w:w="1598" w:type="dxa"/>
                  <w:vAlign w:val="center"/>
                </w:tcPr>
                <w:p>
                  <w:pPr>
                    <w:spacing w:line="280" w:lineRule="exact"/>
                    <w:jc w:val="center"/>
                    <w:rPr>
                      <w:rFonts w:ascii="Times New Roman" w:hAnsi="Times New Roman" w:eastAsia="宋体" w:cs="Times New Roman"/>
                      <w:szCs w:val="21"/>
                    </w:rPr>
                  </w:pPr>
                  <w:r>
                    <w:rPr>
                      <w:rFonts w:hint="eastAsia" w:ascii="Times New Roman" w:hAnsi="Times New Roman" w:eastAsia="宋体" w:cs="Times New Roman"/>
                      <w:sz w:val="24"/>
                    </w:rPr>
                    <w:t xml:space="preserve"> </w:t>
                  </w:r>
                  <w:r>
                    <w:rPr>
                      <w:rFonts w:ascii="Times New Roman" w:hAnsi="Times New Roman" w:eastAsia="宋体" w:cs="Times New Roman"/>
                      <w:szCs w:val="21"/>
                    </w:rPr>
                    <w:t>噪声</w:t>
                  </w:r>
                  <w:r>
                    <w:rPr>
                      <w:rFonts w:hint="eastAsia" w:ascii="Times New Roman" w:hAnsi="Times New Roman" w:eastAsia="宋体" w:cs="Times New Roman"/>
                      <w:szCs w:val="21"/>
                    </w:rPr>
                    <w:t>设备</w:t>
                  </w:r>
                </w:p>
              </w:tc>
              <w:tc>
                <w:tcPr>
                  <w:tcW w:w="1720" w:type="dxa"/>
                  <w:vAlign w:val="center"/>
                </w:tcPr>
                <w:p>
                  <w:pPr>
                    <w:spacing w:line="280" w:lineRule="exact"/>
                    <w:jc w:val="center"/>
                    <w:rPr>
                      <w:rFonts w:ascii="Times New Roman" w:hAnsi="Times New Roman" w:eastAsia="宋体" w:cs="Times New Roman"/>
                      <w:szCs w:val="21"/>
                    </w:rPr>
                  </w:pPr>
                  <w:r>
                    <w:rPr>
                      <w:rFonts w:hint="eastAsia" w:ascii="Times New Roman" w:hAnsi="Times New Roman" w:eastAsia="宋体" w:cs="Times New Roman"/>
                      <w:szCs w:val="21"/>
                    </w:rPr>
                    <w:t>数量（台）</w:t>
                  </w:r>
                </w:p>
              </w:tc>
              <w:tc>
                <w:tcPr>
                  <w:tcW w:w="2062" w:type="dxa"/>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噪声源强[dB(A)]</w:t>
                  </w:r>
                </w:p>
              </w:tc>
              <w:tc>
                <w:tcPr>
                  <w:tcW w:w="3124" w:type="dxa"/>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vAlign w:val="center"/>
                </w:tcPr>
                <w:p>
                  <w:pPr>
                    <w:spacing w:line="280" w:lineRule="exact"/>
                    <w:jc w:val="center"/>
                    <w:rPr>
                      <w:rFonts w:ascii="Times New Roman" w:hAnsi="Times New Roman" w:eastAsia="宋体" w:cs="Times New Roman"/>
                      <w:szCs w:val="21"/>
                    </w:rPr>
                  </w:pPr>
                  <w:r>
                    <w:rPr>
                      <w:rFonts w:hint="eastAsia" w:ascii="Times New Roman" w:hAnsi="Times New Roman" w:eastAsia="宋体" w:cs="Times New Roman"/>
                      <w:szCs w:val="21"/>
                    </w:rPr>
                    <w:t>水泵</w:t>
                  </w:r>
                </w:p>
              </w:tc>
              <w:tc>
                <w:tcPr>
                  <w:tcW w:w="1720" w:type="dxa"/>
                  <w:vAlign w:val="center"/>
                </w:tcPr>
                <w:p>
                  <w:pPr>
                    <w:spacing w:line="28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2062" w:type="dxa"/>
                  <w:vAlign w:val="center"/>
                </w:tcPr>
                <w:p>
                  <w:pPr>
                    <w:spacing w:line="280" w:lineRule="exact"/>
                    <w:jc w:val="center"/>
                    <w:rPr>
                      <w:rFonts w:ascii="Times New Roman" w:hAnsi="Times New Roman" w:eastAsia="宋体" w:cs="Times New Roman"/>
                      <w:szCs w:val="21"/>
                    </w:rPr>
                  </w:pPr>
                  <w:r>
                    <w:rPr>
                      <w:rFonts w:hint="eastAsia" w:ascii="Times New Roman" w:hAnsi="Times New Roman" w:eastAsia="宋体" w:cs="Times New Roman"/>
                      <w:szCs w:val="21"/>
                    </w:rPr>
                    <w:t>8</w:t>
                  </w:r>
                  <w:r>
                    <w:rPr>
                      <w:rFonts w:ascii="Times New Roman" w:hAnsi="Times New Roman" w:eastAsia="宋体" w:cs="Times New Roman"/>
                      <w:szCs w:val="21"/>
                    </w:rPr>
                    <w:t>5~90</w:t>
                  </w:r>
                </w:p>
              </w:tc>
              <w:tc>
                <w:tcPr>
                  <w:tcW w:w="3124" w:type="dxa"/>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基础减振、</w:t>
                  </w:r>
                  <w:r>
                    <w:rPr>
                      <w:rFonts w:hint="eastAsia" w:ascii="Times New Roman" w:hAnsi="Times New Roman" w:eastAsia="宋体" w:cs="Times New Roman"/>
                      <w:szCs w:val="21"/>
                    </w:rPr>
                    <w:t>建筑隔声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vAlign w:val="center"/>
                </w:tcPr>
                <w:p>
                  <w:pPr>
                    <w:spacing w:line="280" w:lineRule="exact"/>
                    <w:jc w:val="center"/>
                    <w:rPr>
                      <w:rFonts w:ascii="Times New Roman" w:hAnsi="Times New Roman" w:eastAsia="宋体" w:cs="Times New Roman"/>
                      <w:szCs w:val="21"/>
                    </w:rPr>
                  </w:pPr>
                  <w:r>
                    <w:rPr>
                      <w:rFonts w:hint="eastAsia" w:ascii="Times New Roman" w:hAnsi="Times New Roman" w:eastAsia="宋体" w:cs="Times New Roman"/>
                      <w:szCs w:val="21"/>
                    </w:rPr>
                    <w:t>铲车</w:t>
                  </w:r>
                </w:p>
              </w:tc>
              <w:tc>
                <w:tcPr>
                  <w:tcW w:w="1720" w:type="dxa"/>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2</w:t>
                  </w:r>
                </w:p>
              </w:tc>
              <w:tc>
                <w:tcPr>
                  <w:tcW w:w="2062" w:type="dxa"/>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85~95</w:t>
                  </w:r>
                </w:p>
              </w:tc>
              <w:tc>
                <w:tcPr>
                  <w:tcW w:w="3124" w:type="dxa"/>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基础减振、</w:t>
                  </w:r>
                  <w:r>
                    <w:rPr>
                      <w:rFonts w:hint="eastAsia" w:ascii="Times New Roman" w:hAnsi="Times New Roman" w:eastAsia="宋体" w:cs="Times New Roman"/>
                      <w:szCs w:val="21"/>
                    </w:rPr>
                    <w:t>建筑隔声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vAlign w:val="center"/>
                </w:tcPr>
                <w:p>
                  <w:pPr>
                    <w:spacing w:line="280" w:lineRule="exact"/>
                    <w:jc w:val="center"/>
                    <w:rPr>
                      <w:rFonts w:ascii="Times New Roman" w:hAnsi="Times New Roman" w:eastAsia="宋体" w:cs="Times New Roman"/>
                      <w:szCs w:val="21"/>
                    </w:rPr>
                  </w:pPr>
                  <w:r>
                    <w:rPr>
                      <w:rFonts w:hint="eastAsia" w:ascii="Times New Roman" w:hAnsi="Times New Roman" w:eastAsia="宋体" w:cs="Times New Roman"/>
                      <w:szCs w:val="21"/>
                    </w:rPr>
                    <w:t>运输车辆</w:t>
                  </w:r>
                </w:p>
              </w:tc>
              <w:tc>
                <w:tcPr>
                  <w:tcW w:w="1720" w:type="dxa"/>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2</w:t>
                  </w:r>
                </w:p>
              </w:tc>
              <w:tc>
                <w:tcPr>
                  <w:tcW w:w="2062" w:type="dxa"/>
                  <w:vAlign w:val="center"/>
                </w:tcPr>
                <w:p>
                  <w:pPr>
                    <w:spacing w:line="280" w:lineRule="exact"/>
                    <w:jc w:val="center"/>
                    <w:rPr>
                      <w:rFonts w:ascii="Times New Roman" w:hAnsi="Times New Roman" w:eastAsia="宋体" w:cs="Times New Roman"/>
                      <w:szCs w:val="21"/>
                    </w:rPr>
                  </w:pPr>
                  <w:r>
                    <w:rPr>
                      <w:rFonts w:hint="eastAsia" w:ascii="Times New Roman" w:hAnsi="Times New Roman" w:eastAsia="宋体" w:cs="Times New Roman"/>
                      <w:szCs w:val="21"/>
                    </w:rPr>
                    <w:t>8</w:t>
                  </w:r>
                  <w:r>
                    <w:rPr>
                      <w:rFonts w:ascii="Times New Roman" w:hAnsi="Times New Roman" w:eastAsia="宋体" w:cs="Times New Roman"/>
                      <w:szCs w:val="21"/>
                    </w:rPr>
                    <w:t>5~90</w:t>
                  </w:r>
                </w:p>
              </w:tc>
              <w:tc>
                <w:tcPr>
                  <w:tcW w:w="3124" w:type="dxa"/>
                  <w:vAlign w:val="center"/>
                </w:tcPr>
                <w:p>
                  <w:pPr>
                    <w:spacing w:line="280" w:lineRule="exact"/>
                    <w:jc w:val="center"/>
                    <w:rPr>
                      <w:rFonts w:ascii="Times New Roman" w:hAnsi="Times New Roman" w:eastAsia="宋体" w:cs="Times New Roman"/>
                      <w:szCs w:val="21"/>
                    </w:rPr>
                  </w:pPr>
                  <w:r>
                    <w:rPr>
                      <w:rFonts w:hint="eastAsia" w:ascii="Times New Roman" w:hAnsi="Times New Roman" w:eastAsia="宋体" w:cs="Times New Roman"/>
                      <w:szCs w:val="21"/>
                    </w:rPr>
                    <w:t>减少夜间运输</w:t>
                  </w:r>
                </w:p>
              </w:tc>
            </w:tr>
          </w:tbl>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注：</w:t>
            </w:r>
            <w:r>
              <w:rPr>
                <w:rFonts w:ascii="Times New Roman" w:hAnsi="Times New Roman" w:eastAsia="宋体" w:cs="Times New Roman"/>
                <w:sz w:val="24"/>
                <w:szCs w:val="24"/>
              </w:rPr>
              <w:t>采取消声、减振、隔声等措施处理后，各噪声源可降噪 30dB。</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（2）预测模式</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1）预测模型</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固定声源的噪声向周围传播过程中，会发生反射、折射、衍射、吸收等现象。因此，随传播距离的增加而产生的衰减量并不按简单的几何规律计算。根据《环境影响评价技术导则-声环境》（HJ2.4-2021）对室内声源的预测方法，声源位于室内，室内声源可采用等效室外声源声功率级法进行计算。</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①</w:t>
            </w:r>
            <w:r>
              <w:rPr>
                <w:rFonts w:ascii="Times New Roman" w:hAnsi="Times New Roman" w:eastAsia="宋体" w:cs="Times New Roman"/>
                <w:sz w:val="24"/>
                <w:szCs w:val="24"/>
              </w:rPr>
              <w:t>计算某一室内声源靠近围护结构处产生的倍频带声压级：</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drawing>
                <wp:anchor distT="0" distB="0" distL="114300" distR="114300" simplePos="0" relativeHeight="251661312" behindDoc="0" locked="0" layoutInCell="1" allowOverlap="1">
                  <wp:simplePos x="0" y="0"/>
                  <wp:positionH relativeFrom="column">
                    <wp:posOffset>1818005</wp:posOffset>
                  </wp:positionH>
                  <wp:positionV relativeFrom="paragraph">
                    <wp:posOffset>51435</wp:posOffset>
                  </wp:positionV>
                  <wp:extent cx="1525270" cy="353695"/>
                  <wp:effectExtent l="0" t="0" r="0" b="8255"/>
                  <wp:wrapNone/>
                  <wp:docPr id="20392447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44714"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25270" cy="353695"/>
                          </a:xfrm>
                          <a:prstGeom prst="rect">
                            <a:avLst/>
                          </a:prstGeom>
                          <a:noFill/>
                          <a:ln>
                            <a:noFill/>
                          </a:ln>
                        </pic:spPr>
                      </pic:pic>
                    </a:graphicData>
                  </a:graphic>
                </wp:anchor>
              </w:drawing>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式中：</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Q-指向性因数：通常对无指向性声源，当声源放在房间中心时，Q=1；当放在一面墙的中心时，Q=2；当放在两面墙夹角时，Q=4；当放在三面墙夹角处时，Q=8。</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R-房间常数：R=Sa/（1-a），S为房间内表面面积，m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；a为平均吸声系数。</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r-声源到靠近围护结构某点处的距离，m。</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②</w:t>
            </w:r>
            <w:r>
              <w:rPr>
                <w:rFonts w:ascii="Times New Roman" w:hAnsi="Times New Roman" w:eastAsia="宋体" w:cs="Times New Roman"/>
                <w:sz w:val="24"/>
                <w:szCs w:val="24"/>
              </w:rPr>
              <w:t>计算出所有室内声源</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在围护结构处产生的i倍频带叠加声压级：</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drawing>
                <wp:anchor distT="0" distB="0" distL="114300" distR="114300" simplePos="0" relativeHeight="251660288" behindDoc="0" locked="0" layoutInCell="1" allowOverlap="1">
                  <wp:simplePos x="0" y="0"/>
                  <wp:positionH relativeFrom="column">
                    <wp:posOffset>1649095</wp:posOffset>
                  </wp:positionH>
                  <wp:positionV relativeFrom="paragraph">
                    <wp:posOffset>13970</wp:posOffset>
                  </wp:positionV>
                  <wp:extent cx="1605915" cy="462915"/>
                  <wp:effectExtent l="0" t="0" r="0" b="0"/>
                  <wp:wrapNone/>
                  <wp:docPr id="16357854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85489"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05915" cy="462915"/>
                          </a:xfrm>
                          <a:prstGeom prst="rect">
                            <a:avLst/>
                          </a:prstGeom>
                          <a:noFill/>
                          <a:ln>
                            <a:noFill/>
                          </a:ln>
                        </pic:spPr>
                      </pic:pic>
                    </a:graphicData>
                  </a:graphic>
                </wp:anchor>
              </w:drawing>
            </w: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式中：</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Lp1i（T）——靠近围护结构处室内N个声源i倍频带的叠加声压级，dB；</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Lp1ij——室内j声源i倍频带的声压级，dB；</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③</w:t>
            </w:r>
            <w:r>
              <w:rPr>
                <w:rFonts w:ascii="Times New Roman" w:hAnsi="Times New Roman" w:eastAsia="宋体" w:cs="Times New Roman"/>
                <w:sz w:val="24"/>
                <w:szCs w:val="24"/>
              </w:rPr>
              <w:t>在室内近似为扩散声场地，按下式计算出靠近室外围护结构处的声压级：</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1762125" cy="257175"/>
                  <wp:effectExtent l="0" t="0" r="9525" b="9525"/>
                  <wp:docPr id="9169297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29768"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62125" cy="25717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式中：</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Lp2i（T）——靠近围护结构处室外N个声源i倍频带的叠加声压级，dB；</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TLi——围护结构i倍频带的隔声量，dB；</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④</w:t>
            </w:r>
            <w:r>
              <w:rPr>
                <w:rFonts w:ascii="Times New Roman" w:hAnsi="Times New Roman" w:eastAsia="宋体" w:cs="Times New Roman"/>
                <w:sz w:val="24"/>
                <w:szCs w:val="24"/>
              </w:rPr>
              <w:t>将室外声源的声压级和透过面积换算成等效的室外声源，计算出中心位置位于透声面积（S）处的等效声源的倍频带声功率级。</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1304925" cy="228600"/>
                  <wp:effectExtent l="0" t="0" r="9525" b="0"/>
                  <wp:docPr id="412941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41287"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04925" cy="22860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⑤</w:t>
            </w:r>
            <w:r>
              <w:rPr>
                <w:rFonts w:ascii="Times New Roman" w:hAnsi="Times New Roman" w:eastAsia="宋体" w:cs="Times New Roman"/>
                <w:sz w:val="24"/>
                <w:szCs w:val="24"/>
              </w:rPr>
              <w:t>按室外声源预测方法计算预测点处的A声级。</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设第i个室外声源在预测点产生的A声级为LAi，在T时间内该声源工作时间为ti；第j个等效室外声源在预测点产生的A声级为LAj，在T时间内该声源工作时间为tj，则拟建工程声源对预测点产生的贡献值（Leqg）为：</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drawing>
                <wp:anchor distT="0" distB="0" distL="114300" distR="114300" simplePos="0" relativeHeight="251662336" behindDoc="0" locked="0" layoutInCell="1" allowOverlap="1">
                  <wp:simplePos x="0" y="0"/>
                  <wp:positionH relativeFrom="column">
                    <wp:posOffset>1193800</wp:posOffset>
                  </wp:positionH>
                  <wp:positionV relativeFrom="paragraph">
                    <wp:posOffset>71755</wp:posOffset>
                  </wp:positionV>
                  <wp:extent cx="2347595" cy="454660"/>
                  <wp:effectExtent l="0" t="0" r="0" b="2540"/>
                  <wp:wrapNone/>
                  <wp:docPr id="10719911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91167"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47595" cy="454660"/>
                          </a:xfrm>
                          <a:prstGeom prst="rect">
                            <a:avLst/>
                          </a:prstGeom>
                          <a:noFill/>
                          <a:ln>
                            <a:noFill/>
                          </a:ln>
                        </pic:spPr>
                      </pic:pic>
                    </a:graphicData>
                  </a:graphic>
                </wp:anchor>
              </w:drawing>
            </w: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式中：</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tj——在T时间内j声源工作时间，s；</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ti——在T时间内i声源工作时间，s；</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T——用于计算等效声级的时间，s；</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N——室外声源个数；</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M——等效室外声源个数；</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drawing>
                <wp:anchor distT="0" distB="0" distL="114300" distR="114300" simplePos="0" relativeHeight="251663360" behindDoc="0" locked="0" layoutInCell="1" allowOverlap="1">
                  <wp:simplePos x="0" y="0"/>
                  <wp:positionH relativeFrom="column">
                    <wp:posOffset>1911350</wp:posOffset>
                  </wp:positionH>
                  <wp:positionV relativeFrom="paragraph">
                    <wp:posOffset>240030</wp:posOffset>
                  </wp:positionV>
                  <wp:extent cx="1882140" cy="284480"/>
                  <wp:effectExtent l="0" t="0" r="3810" b="1270"/>
                  <wp:wrapNone/>
                  <wp:docPr id="7884749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74991"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82140" cy="284480"/>
                          </a:xfrm>
                          <a:prstGeom prst="rect">
                            <a:avLst/>
                          </a:prstGeom>
                          <a:noFill/>
                          <a:ln>
                            <a:noFill/>
                          </a:ln>
                        </pic:spPr>
                      </pic:pic>
                    </a:graphicData>
                  </a:graphic>
                </wp:anchor>
              </w:drawing>
            </w:r>
            <w:r>
              <w:rPr>
                <w:rFonts w:hint="eastAsia" w:ascii="Times New Roman" w:hAnsi="Times New Roman" w:eastAsia="宋体" w:cs="Times New Roman"/>
                <w:sz w:val="24"/>
                <w:szCs w:val="24"/>
              </w:rPr>
              <w:t>⑥</w:t>
            </w:r>
            <w:r>
              <w:rPr>
                <w:rFonts w:ascii="Times New Roman" w:hAnsi="Times New Roman" w:eastAsia="宋体" w:cs="Times New Roman"/>
                <w:sz w:val="24"/>
                <w:szCs w:val="24"/>
              </w:rPr>
              <w:t>预测点的预测等效声级（Leq）计算：</w:t>
            </w: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式中：Leq——建设项目声源在预测点的等效声级贡献量，dB（A）；</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Leqb——预测点背景值，dB（A）；</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w:t>
            </w:r>
            <w:r>
              <w:rPr>
                <w:rFonts w:hint="eastAsia" w:ascii="Times New Roman" w:hAnsi="Times New Roman" w:eastAsia="宋体" w:cs="Times New Roman"/>
                <w:sz w:val="24"/>
                <w:szCs w:val="24"/>
              </w:rPr>
              <w:t>）预测结果</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根据项目平面布置、噪声源分布及采取的降噪措施，项目运营期厂界噪声预测结果见表 4-</w:t>
            </w:r>
            <w:r>
              <w:rPr>
                <w:rFonts w:ascii="Times New Roman" w:hAnsi="Times New Roman" w:eastAsia="宋体" w:cs="Times New Roman"/>
                <w:sz w:val="24"/>
                <w:szCs w:val="24"/>
              </w:rPr>
              <w:t>6</w:t>
            </w:r>
            <w:r>
              <w:rPr>
                <w:rFonts w:hint="eastAsia" w:ascii="Times New Roman" w:hAnsi="Times New Roman" w:eastAsia="宋体" w:cs="Times New Roman"/>
                <w:sz w:val="24"/>
                <w:szCs w:val="24"/>
              </w:rPr>
              <w:t>。</w:t>
            </w:r>
          </w:p>
          <w:p>
            <w:pPr>
              <w:autoSpaceDE w:val="0"/>
              <w:autoSpaceDN w:val="0"/>
              <w:spacing w:line="360" w:lineRule="auto"/>
              <w:ind w:right="42" w:rightChars="20" w:firstLine="482"/>
              <w:jc w:val="center"/>
              <w:rPr>
                <w:rFonts w:ascii="Times New Roman" w:hAnsi="Times New Roman" w:eastAsia="宋体" w:cs="Times New Roman"/>
                <w:b/>
                <w:sz w:val="24"/>
                <w:szCs w:val="21"/>
              </w:rPr>
            </w:pPr>
            <w:r>
              <w:rPr>
                <w:rFonts w:hint="eastAsia" w:ascii="Times New Roman" w:hAnsi="Times New Roman" w:eastAsia="宋体" w:cs="Times New Roman"/>
                <w:b/>
                <w:sz w:val="24"/>
                <w:szCs w:val="21"/>
              </w:rPr>
              <w:t>表4</w:t>
            </w:r>
            <w:r>
              <w:rPr>
                <w:rFonts w:ascii="Times New Roman" w:hAnsi="Times New Roman" w:eastAsia="宋体" w:cs="Times New Roman"/>
                <w:b/>
                <w:sz w:val="24"/>
                <w:szCs w:val="21"/>
              </w:rPr>
              <w:t xml:space="preserve">-6 </w:t>
            </w:r>
            <w:r>
              <w:rPr>
                <w:rFonts w:hint="eastAsia" w:ascii="Times New Roman" w:hAnsi="Times New Roman" w:eastAsia="宋体" w:cs="Times New Roman"/>
                <w:b/>
                <w:sz w:val="24"/>
                <w:szCs w:val="21"/>
              </w:rPr>
              <w:t>厂界噪声影响预测结果一览表</w:t>
            </w: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2429"/>
              <w:gridCol w:w="2430"/>
              <w:gridCol w:w="24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Merge w:val="restart"/>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预测点</w:t>
                  </w:r>
                </w:p>
              </w:tc>
              <w:tc>
                <w:tcPr>
                  <w:tcW w:w="2429" w:type="dxa"/>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预测值</w:t>
                  </w:r>
                </w:p>
              </w:tc>
              <w:tc>
                <w:tcPr>
                  <w:tcW w:w="2430" w:type="dxa"/>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标准值</w:t>
                  </w:r>
                </w:p>
              </w:tc>
              <w:tc>
                <w:tcPr>
                  <w:tcW w:w="2430" w:type="dxa"/>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达标排放情况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Merge w:val="continue"/>
                  <w:vAlign w:val="center"/>
                </w:tcPr>
                <w:p>
                  <w:pPr>
                    <w:jc w:val="center"/>
                    <w:rPr>
                      <w:rFonts w:ascii="Times New Roman" w:hAnsi="Times New Roman" w:eastAsia="宋体" w:cs="Times New Roman"/>
                      <w:b/>
                      <w:bCs/>
                      <w:szCs w:val="21"/>
                    </w:rPr>
                  </w:pPr>
                </w:p>
              </w:tc>
              <w:tc>
                <w:tcPr>
                  <w:tcW w:w="2429" w:type="dxa"/>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昼间</w:t>
                  </w:r>
                </w:p>
              </w:tc>
              <w:tc>
                <w:tcPr>
                  <w:tcW w:w="2430" w:type="dxa"/>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昼间</w:t>
                  </w:r>
                </w:p>
              </w:tc>
              <w:tc>
                <w:tcPr>
                  <w:tcW w:w="2430" w:type="dxa"/>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昼间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厂界东</w:t>
                  </w:r>
                </w:p>
              </w:tc>
              <w:tc>
                <w:tcPr>
                  <w:tcW w:w="242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6.8</w:t>
                  </w:r>
                </w:p>
              </w:tc>
              <w:tc>
                <w:tcPr>
                  <w:tcW w:w="24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0</w:t>
                  </w:r>
                </w:p>
              </w:tc>
              <w:tc>
                <w:tcPr>
                  <w:tcW w:w="24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厂界南</w:t>
                  </w:r>
                </w:p>
              </w:tc>
              <w:tc>
                <w:tcPr>
                  <w:tcW w:w="242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0.6</w:t>
                  </w:r>
                </w:p>
              </w:tc>
              <w:tc>
                <w:tcPr>
                  <w:tcW w:w="24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0</w:t>
                  </w:r>
                </w:p>
              </w:tc>
              <w:tc>
                <w:tcPr>
                  <w:tcW w:w="24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厂界西</w:t>
                  </w:r>
                </w:p>
              </w:tc>
              <w:tc>
                <w:tcPr>
                  <w:tcW w:w="242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3.3</w:t>
                  </w:r>
                </w:p>
              </w:tc>
              <w:tc>
                <w:tcPr>
                  <w:tcW w:w="24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0</w:t>
                  </w:r>
                </w:p>
              </w:tc>
              <w:tc>
                <w:tcPr>
                  <w:tcW w:w="24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pPr>
                    <w:jc w:val="center"/>
                    <w:rPr>
                      <w:rFonts w:ascii="Times New Roman" w:hAnsi="Times New Roman" w:eastAsia="宋体" w:cs="Times New Roman"/>
                      <w:szCs w:val="21"/>
                    </w:rPr>
                  </w:pPr>
                  <w:bookmarkStart w:id="75" w:name="_GoBack" w:colFirst="3" w:colLast="3"/>
                  <w:r>
                    <w:rPr>
                      <w:rFonts w:hint="eastAsia" w:ascii="Times New Roman" w:hAnsi="Times New Roman" w:eastAsia="宋体" w:cs="Times New Roman"/>
                      <w:szCs w:val="21"/>
                    </w:rPr>
                    <w:t>厂界北</w:t>
                  </w:r>
                </w:p>
              </w:tc>
              <w:tc>
                <w:tcPr>
                  <w:tcW w:w="242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8.2</w:t>
                  </w:r>
                </w:p>
              </w:tc>
              <w:tc>
                <w:tcPr>
                  <w:tcW w:w="24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0</w:t>
                  </w:r>
                </w:p>
              </w:tc>
              <w:tc>
                <w:tcPr>
                  <w:tcW w:w="24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bookmarkEnd w:id="75"/>
          </w:tbl>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注释：项目夜间不生产</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3）结论</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项目在采取设置减震基座、厂房隔声吸声等一系列降噪措施后，根据预测结果，项目运营期昼间厂界噪声满足《工业企业厂界环境噪声排放标准》（</w:t>
            </w:r>
            <w:r>
              <w:rPr>
                <w:rFonts w:ascii="Times New Roman" w:hAnsi="Times New Roman" w:eastAsia="宋体" w:cs="Times New Roman"/>
                <w:sz w:val="24"/>
                <w:szCs w:val="24"/>
              </w:rPr>
              <w:t>GB12348-2008）2 类标准。</w:t>
            </w:r>
          </w:p>
          <w:p>
            <w:pPr>
              <w:spacing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（3）噪声污染防治措施</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1）设备安放在生产厂房内，通过底座减振、墙体、封闭的门窗隔声。</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2）优化总平面布置，定期对设备进行检修，防止不良工况下的故障噪声产生。定期对设备进行检修，防止不良工况下的故障噪声产生。</w:t>
            </w:r>
          </w:p>
          <w:p>
            <w:pPr>
              <w:spacing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w:t>
            </w:r>
            <w:r>
              <w:rPr>
                <w:rFonts w:ascii="Times New Roman" w:hAnsi="Times New Roman" w:eastAsia="宋体" w:cs="Times New Roman"/>
                <w:b/>
                <w:bCs/>
                <w:sz w:val="24"/>
              </w:rPr>
              <w:t>4）自行监测要求</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根据《固定污染源排污许可分类管理名录（</w:t>
            </w:r>
            <w:r>
              <w:rPr>
                <w:rFonts w:ascii="Times New Roman" w:hAnsi="Times New Roman" w:eastAsia="宋体" w:cs="Times New Roman"/>
                <w:kern w:val="0"/>
                <w:sz w:val="24"/>
                <w:szCs w:val="24"/>
              </w:rPr>
              <w:t>2019年版）》（生态环境部令第11号）文件可知，本项目属于管理名录中的登记管理企业，根据《关于印发&lt;固定污染源排污登记工作指南（试行）&gt;的通知》已经明确了排污单位登记内容，对登记管理排污单位不做台账、自行监测和执行报告等要求。所以本次评价不做自行监测计划要求。</w:t>
            </w:r>
          </w:p>
          <w:p>
            <w:pPr>
              <w:spacing w:line="360" w:lineRule="auto"/>
              <w:rPr>
                <w:rFonts w:ascii="Times New Roman" w:hAnsi="Times New Roman" w:eastAsia="宋体" w:cs="Times New Roman"/>
                <w:b/>
                <w:sz w:val="24"/>
                <w:szCs w:val="24"/>
              </w:rPr>
            </w:pPr>
            <w:r>
              <w:rPr>
                <w:rFonts w:hint="eastAsia" w:ascii="Times New Roman" w:hAnsi="Times New Roman" w:eastAsia="宋体" w:cs="Times New Roman"/>
                <w:b/>
                <w:sz w:val="24"/>
                <w:szCs w:val="24"/>
              </w:rPr>
              <w:t>4、固体废物环境影响及防治措施</w:t>
            </w:r>
          </w:p>
          <w:p>
            <w:pPr>
              <w:spacing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（1）固废体废物产生情况</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本项目营运期产生的固体废物主要包括沉淀池煤泥和生活垃圾。</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1）生活垃圾</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本项目职工定员</w:t>
            </w:r>
            <w:r>
              <w:rPr>
                <w:rFonts w:ascii="Times New Roman" w:hAnsi="Times New Roman" w:eastAsia="宋体" w:cs="Times New Roman"/>
                <w:sz w:val="24"/>
              </w:rPr>
              <w:t>1</w:t>
            </w:r>
            <w:r>
              <w:rPr>
                <w:rFonts w:hint="eastAsia" w:ascii="Times New Roman" w:hAnsi="Times New Roman" w:eastAsia="宋体" w:cs="Times New Roman"/>
                <w:sz w:val="24"/>
              </w:rPr>
              <w:t>0人，员工生活垃圾产生量按0.5kg/d计算，则项目产生的生活垃圾量为1</w:t>
            </w:r>
            <w:r>
              <w:rPr>
                <w:rFonts w:ascii="Times New Roman" w:hAnsi="Times New Roman" w:eastAsia="宋体" w:cs="Times New Roman"/>
                <w:sz w:val="24"/>
              </w:rPr>
              <w:t>.5</w:t>
            </w:r>
            <w:r>
              <w:rPr>
                <w:rFonts w:hint="eastAsia" w:ascii="Times New Roman" w:hAnsi="Times New Roman" w:eastAsia="宋体" w:cs="Times New Roman"/>
                <w:sz w:val="24"/>
              </w:rPr>
              <w:t>t/a，生活垃圾集中收集后委托环卫部门每日统一清运，做到日产日清。</w:t>
            </w:r>
          </w:p>
          <w:p>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沉淀池煤泥</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项目沉淀池泥煤产生量为1</w:t>
            </w:r>
            <w:r>
              <w:rPr>
                <w:rFonts w:ascii="Times New Roman" w:hAnsi="Times New Roman" w:eastAsia="宋体" w:cs="Times New Roman"/>
                <w:sz w:val="24"/>
              </w:rPr>
              <w:t>.5t/a</w:t>
            </w:r>
            <w:r>
              <w:rPr>
                <w:rFonts w:hint="eastAsia" w:ascii="Times New Roman" w:hAnsi="Times New Roman" w:eastAsia="宋体" w:cs="Times New Roman"/>
                <w:sz w:val="24"/>
              </w:rPr>
              <w:t>，项目沉淀池泥煤渣经打捞后经过自然脱水后堆存于项目堆场做为产品外售。</w:t>
            </w:r>
          </w:p>
          <w:p>
            <w:pPr>
              <w:spacing w:before="156" w:beforeLines="50" w:after="156" w:afterLines="50"/>
              <w:jc w:val="center"/>
              <w:rPr>
                <w:rFonts w:ascii="Times New Roman" w:hAnsi="Times New Roman" w:eastAsia="宋体" w:cs="Times New Roman"/>
                <w:b/>
                <w:bCs/>
                <w:sz w:val="24"/>
              </w:rPr>
            </w:pPr>
            <w:r>
              <w:rPr>
                <w:rFonts w:hint="eastAsia" w:ascii="Times New Roman" w:hAnsi="Times New Roman" w:eastAsia="宋体" w:cs="Times New Roman"/>
                <w:b/>
                <w:bCs/>
                <w:sz w:val="24"/>
              </w:rPr>
              <w:t>表4</w:t>
            </w:r>
            <w:r>
              <w:rPr>
                <w:rFonts w:ascii="Times New Roman" w:hAnsi="Times New Roman" w:eastAsia="宋体" w:cs="Times New Roman"/>
                <w:b/>
                <w:bCs/>
                <w:sz w:val="24"/>
              </w:rPr>
              <w:t xml:space="preserve">-7 </w:t>
            </w:r>
            <w:r>
              <w:rPr>
                <w:rFonts w:hint="eastAsia" w:ascii="Times New Roman" w:hAnsi="Times New Roman" w:eastAsia="宋体" w:cs="Times New Roman"/>
                <w:b/>
                <w:bCs/>
                <w:sz w:val="24"/>
              </w:rPr>
              <w:t>项目固体废物产生情况一览表</w:t>
            </w:r>
          </w:p>
          <w:tbl>
            <w:tblPr>
              <w:tblStyle w:val="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479"/>
              <w:gridCol w:w="1143"/>
              <w:gridCol w:w="1095"/>
              <w:gridCol w:w="854"/>
              <w:gridCol w:w="861"/>
              <w:gridCol w:w="1390"/>
              <w:gridCol w:w="476"/>
              <w:gridCol w:w="810"/>
              <w:gridCol w:w="139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282" w:type="pct"/>
                  <w:vAlign w:val="center"/>
                </w:tcPr>
                <w:p>
                  <w:pPr>
                    <w:spacing w:before="156" w:beforeLines="50" w:after="156" w:afterLines="50"/>
                    <w:jc w:val="center"/>
                    <w:rPr>
                      <w:rFonts w:ascii="Times New Roman" w:hAnsi="Times New Roman" w:eastAsia="宋体" w:cs="Times New Roman"/>
                      <w:b/>
                      <w:bCs/>
                      <w:szCs w:val="21"/>
                    </w:rPr>
                  </w:pPr>
                  <w:r>
                    <w:rPr>
                      <w:rFonts w:ascii="Times New Roman" w:hAnsi="Times New Roman" w:eastAsia="宋体" w:cs="Times New Roman"/>
                      <w:b/>
                      <w:bCs/>
                      <w:szCs w:val="21"/>
                    </w:rPr>
                    <w:t>序号</w:t>
                  </w:r>
                </w:p>
              </w:tc>
              <w:tc>
                <w:tcPr>
                  <w:tcW w:w="672" w:type="pct"/>
                  <w:vAlign w:val="center"/>
                </w:tcPr>
                <w:p>
                  <w:pPr>
                    <w:spacing w:before="156" w:beforeLines="50" w:after="156" w:afterLines="50"/>
                    <w:jc w:val="center"/>
                    <w:rPr>
                      <w:rFonts w:ascii="Times New Roman" w:hAnsi="Times New Roman" w:eastAsia="宋体" w:cs="Times New Roman"/>
                      <w:b/>
                      <w:bCs/>
                      <w:szCs w:val="21"/>
                    </w:rPr>
                  </w:pPr>
                  <w:r>
                    <w:rPr>
                      <w:rFonts w:ascii="Times New Roman" w:hAnsi="Times New Roman" w:eastAsia="宋体" w:cs="Times New Roman"/>
                      <w:b/>
                      <w:bCs/>
                      <w:szCs w:val="21"/>
                    </w:rPr>
                    <w:t>名称</w:t>
                  </w:r>
                </w:p>
              </w:tc>
              <w:tc>
                <w:tcPr>
                  <w:tcW w:w="644" w:type="pct"/>
                  <w:vAlign w:val="center"/>
                </w:tcPr>
                <w:p>
                  <w:pPr>
                    <w:spacing w:before="156" w:beforeLines="50" w:after="156" w:afterLines="50"/>
                    <w:jc w:val="center"/>
                    <w:rPr>
                      <w:rFonts w:ascii="Times New Roman" w:hAnsi="Times New Roman" w:eastAsia="宋体" w:cs="Times New Roman"/>
                      <w:b/>
                      <w:bCs/>
                      <w:szCs w:val="21"/>
                    </w:rPr>
                  </w:pPr>
                  <w:r>
                    <w:rPr>
                      <w:rFonts w:ascii="Times New Roman" w:hAnsi="Times New Roman" w:eastAsia="宋体" w:cs="Times New Roman"/>
                      <w:b/>
                      <w:bCs/>
                      <w:szCs w:val="21"/>
                    </w:rPr>
                    <w:t>产生量（t/a）</w:t>
                  </w:r>
                </w:p>
              </w:tc>
              <w:tc>
                <w:tcPr>
                  <w:tcW w:w="502" w:type="pct"/>
                  <w:vAlign w:val="center"/>
                </w:tcPr>
                <w:p>
                  <w:pPr>
                    <w:spacing w:before="156" w:beforeLines="50" w:after="156" w:afterLines="50"/>
                    <w:jc w:val="center"/>
                    <w:rPr>
                      <w:rFonts w:ascii="Times New Roman" w:hAnsi="Times New Roman" w:eastAsia="宋体" w:cs="Times New Roman"/>
                      <w:b/>
                      <w:bCs/>
                      <w:szCs w:val="21"/>
                    </w:rPr>
                  </w:pPr>
                  <w:r>
                    <w:rPr>
                      <w:rFonts w:ascii="Times New Roman" w:hAnsi="Times New Roman" w:eastAsia="宋体" w:cs="Times New Roman"/>
                      <w:b/>
                      <w:bCs/>
                      <w:szCs w:val="21"/>
                    </w:rPr>
                    <w:t>是否属于危废</w:t>
                  </w:r>
                </w:p>
              </w:tc>
              <w:tc>
                <w:tcPr>
                  <w:tcW w:w="506" w:type="pct"/>
                  <w:vAlign w:val="center"/>
                </w:tcPr>
                <w:p>
                  <w:pPr>
                    <w:spacing w:before="156" w:beforeLines="50" w:after="156" w:afterLines="50"/>
                    <w:jc w:val="center"/>
                    <w:rPr>
                      <w:rFonts w:ascii="Times New Roman" w:hAnsi="Times New Roman" w:eastAsia="宋体" w:cs="Times New Roman"/>
                      <w:b/>
                      <w:bCs/>
                      <w:szCs w:val="21"/>
                    </w:rPr>
                  </w:pPr>
                  <w:r>
                    <w:rPr>
                      <w:rFonts w:ascii="Times New Roman" w:hAnsi="Times New Roman" w:eastAsia="宋体" w:cs="Times New Roman"/>
                      <w:b/>
                      <w:bCs/>
                      <w:szCs w:val="21"/>
                    </w:rPr>
                    <w:t>危废类型</w:t>
                  </w:r>
                </w:p>
              </w:tc>
              <w:tc>
                <w:tcPr>
                  <w:tcW w:w="817" w:type="pct"/>
                  <w:vAlign w:val="center"/>
                </w:tcPr>
                <w:p>
                  <w:pPr>
                    <w:spacing w:before="156" w:beforeLines="50" w:after="156" w:afterLines="50"/>
                    <w:jc w:val="center"/>
                    <w:rPr>
                      <w:rFonts w:ascii="Times New Roman" w:hAnsi="Times New Roman" w:eastAsia="宋体" w:cs="Times New Roman"/>
                      <w:b/>
                      <w:bCs/>
                      <w:szCs w:val="21"/>
                    </w:rPr>
                  </w:pPr>
                  <w:r>
                    <w:rPr>
                      <w:rFonts w:ascii="Times New Roman" w:hAnsi="Times New Roman" w:eastAsia="宋体" w:cs="Times New Roman"/>
                      <w:b/>
                      <w:bCs/>
                      <w:szCs w:val="21"/>
                    </w:rPr>
                    <w:t>代码</w:t>
                  </w:r>
                </w:p>
              </w:tc>
              <w:tc>
                <w:tcPr>
                  <w:tcW w:w="280" w:type="pct"/>
                  <w:vAlign w:val="center"/>
                </w:tcPr>
                <w:p>
                  <w:pPr>
                    <w:spacing w:before="156" w:beforeLines="50" w:after="156" w:afterLines="50"/>
                    <w:jc w:val="center"/>
                    <w:rPr>
                      <w:rFonts w:ascii="Times New Roman" w:hAnsi="Times New Roman" w:eastAsia="宋体" w:cs="Times New Roman"/>
                      <w:b/>
                      <w:bCs/>
                      <w:szCs w:val="21"/>
                    </w:rPr>
                  </w:pPr>
                  <w:r>
                    <w:rPr>
                      <w:rFonts w:ascii="Times New Roman" w:hAnsi="Times New Roman" w:eastAsia="宋体" w:cs="Times New Roman"/>
                      <w:b/>
                      <w:bCs/>
                      <w:szCs w:val="21"/>
                    </w:rPr>
                    <w:t>形态</w:t>
                  </w:r>
                </w:p>
              </w:tc>
              <w:tc>
                <w:tcPr>
                  <w:tcW w:w="476" w:type="pct"/>
                  <w:vAlign w:val="center"/>
                </w:tcPr>
                <w:p>
                  <w:pPr>
                    <w:spacing w:before="156" w:beforeLines="50" w:after="156" w:afterLines="50"/>
                    <w:jc w:val="center"/>
                    <w:rPr>
                      <w:rFonts w:ascii="Times New Roman" w:hAnsi="Times New Roman" w:eastAsia="宋体" w:cs="Times New Roman"/>
                      <w:b/>
                      <w:bCs/>
                      <w:szCs w:val="21"/>
                    </w:rPr>
                  </w:pPr>
                  <w:r>
                    <w:rPr>
                      <w:rFonts w:ascii="Times New Roman" w:hAnsi="Times New Roman" w:eastAsia="宋体" w:cs="Times New Roman"/>
                      <w:b/>
                      <w:bCs/>
                      <w:szCs w:val="21"/>
                    </w:rPr>
                    <w:t>危险特性</w:t>
                  </w:r>
                </w:p>
              </w:tc>
              <w:tc>
                <w:tcPr>
                  <w:tcW w:w="821" w:type="pct"/>
                  <w:vAlign w:val="center"/>
                </w:tcPr>
                <w:p>
                  <w:pPr>
                    <w:spacing w:before="156" w:beforeLines="50" w:after="156" w:afterLines="50"/>
                    <w:jc w:val="center"/>
                    <w:rPr>
                      <w:rFonts w:ascii="Times New Roman" w:hAnsi="Times New Roman" w:eastAsia="宋体" w:cs="Times New Roman"/>
                      <w:b/>
                      <w:bCs/>
                      <w:szCs w:val="21"/>
                    </w:rPr>
                  </w:pPr>
                  <w:r>
                    <w:rPr>
                      <w:rFonts w:ascii="Times New Roman" w:hAnsi="Times New Roman" w:eastAsia="宋体" w:cs="Times New Roman"/>
                      <w:b/>
                      <w:bCs/>
                      <w:szCs w:val="21"/>
                    </w:rPr>
                    <w:t>最终去向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29" w:hRule="atLeast"/>
                <w:jc w:val="center"/>
              </w:trPr>
              <w:tc>
                <w:tcPr>
                  <w:tcW w:w="282"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672"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生活垃圾</w:t>
                  </w:r>
                </w:p>
              </w:tc>
              <w:tc>
                <w:tcPr>
                  <w:tcW w:w="644"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w:t>
                  </w:r>
                </w:p>
              </w:tc>
              <w:tc>
                <w:tcPr>
                  <w:tcW w:w="50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否</w:t>
                  </w:r>
                </w:p>
              </w:tc>
              <w:tc>
                <w:tcPr>
                  <w:tcW w:w="506"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817"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28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固</w:t>
                  </w:r>
                </w:p>
              </w:tc>
              <w:tc>
                <w:tcPr>
                  <w:tcW w:w="476"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821"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集中收集后委托环卫部门每日统一清运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29" w:hRule="atLeast"/>
                <w:jc w:val="center"/>
              </w:trPr>
              <w:tc>
                <w:tcPr>
                  <w:tcW w:w="28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672"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沉淀池煤泥</w:t>
                  </w:r>
                </w:p>
              </w:tc>
              <w:tc>
                <w:tcPr>
                  <w:tcW w:w="644"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w:t>
                  </w:r>
                </w:p>
              </w:tc>
              <w:tc>
                <w:tcPr>
                  <w:tcW w:w="502"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否</w:t>
                  </w:r>
                </w:p>
              </w:tc>
              <w:tc>
                <w:tcPr>
                  <w:tcW w:w="506"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7"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280"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固</w:t>
                  </w:r>
                </w:p>
              </w:tc>
              <w:tc>
                <w:tcPr>
                  <w:tcW w:w="476"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21"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经过自然脱水后堆存于项目堆场做为产品外售</w:t>
                  </w:r>
                </w:p>
              </w:tc>
            </w:tr>
          </w:tbl>
          <w:p>
            <w:pPr>
              <w:spacing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w:t>
            </w:r>
            <w:r>
              <w:rPr>
                <w:rFonts w:ascii="Times New Roman" w:hAnsi="Times New Roman" w:eastAsia="宋体" w:cs="Times New Roman"/>
                <w:b/>
                <w:bCs/>
                <w:sz w:val="24"/>
              </w:rPr>
              <w:t>2</w:t>
            </w:r>
            <w:r>
              <w:rPr>
                <w:rFonts w:hint="eastAsia" w:ascii="Times New Roman" w:hAnsi="Times New Roman" w:eastAsia="宋体" w:cs="Times New Roman"/>
                <w:b/>
                <w:bCs/>
                <w:sz w:val="24"/>
              </w:rPr>
              <w:t>）固体废物管理要求</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对于一般工业废物，根据《一般工业固体废物贮存和填埋污染控制标准》(GB18599-2020) 及相关国家及地方法律法规，提出如下环保措施:</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1）为防止雨水径流进人贮存、处置场内，避免渗滤液量增加和滑坡，贮存、处置场周边应设置导流渠。</w:t>
            </w:r>
          </w:p>
          <w:p>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）为加强监督管理，贮存、处置场应按 GB15562.2 设置环境保护图形标志。</w:t>
            </w:r>
          </w:p>
          <w:p>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3</w:t>
            </w:r>
            <w:r>
              <w:rPr>
                <w:rFonts w:hint="eastAsia" w:ascii="Times New Roman" w:hAnsi="Times New Roman" w:eastAsia="宋体" w:cs="Times New Roman"/>
                <w:sz w:val="24"/>
              </w:rPr>
              <w:t>）贮存、处置场使用单位，应建立检查维护制度。</w:t>
            </w:r>
          </w:p>
          <w:p>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4</w:t>
            </w:r>
            <w:r>
              <w:rPr>
                <w:rFonts w:hint="eastAsia" w:ascii="Times New Roman" w:hAnsi="Times New Roman" w:eastAsia="宋体" w:cs="Times New Roman"/>
                <w:sz w:val="24"/>
              </w:rPr>
              <w:t>）贮存、处置场的使用单位，应建立档案制度，应将入场的一般工业固体废物的种类和数量以及下列资料。详细记录在案，长期保存，供随时查阅。</w:t>
            </w:r>
          </w:p>
          <w:p>
            <w:pPr>
              <w:spacing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（3）固体废物影响分析结论</w:t>
            </w:r>
          </w:p>
          <w:p>
            <w:pPr>
              <w:spacing w:line="360" w:lineRule="auto"/>
              <w:ind w:left="42" w:leftChars="20" w:right="42" w:rightChars="20" w:firstLine="480" w:firstLineChars="200"/>
              <w:rPr>
                <w:rFonts w:ascii="Times New Roman" w:hAnsi="Times New Roman" w:eastAsia="宋体" w:cs="Times New Roman"/>
                <w:bCs/>
                <w:kern w:val="0"/>
                <w:sz w:val="24"/>
                <w:szCs w:val="24"/>
                <w:lang w:bidi="zh-CN"/>
              </w:rPr>
            </w:pPr>
            <w:r>
              <w:rPr>
                <w:rFonts w:hint="eastAsia" w:ascii="Times New Roman" w:hAnsi="Times New Roman" w:eastAsia="宋体" w:cs="Times New Roman"/>
                <w:bCs/>
                <w:kern w:val="0"/>
                <w:sz w:val="24"/>
                <w:szCs w:val="24"/>
                <w:lang w:bidi="zh-CN"/>
              </w:rPr>
              <w:t>综上所述，本项目产生的固废经妥善处理、处置后，不会对周围环境及人体产生较大影响，亦不会对环境产生二次污染，所采取的治理措施是可行的。</w:t>
            </w:r>
          </w:p>
          <w:p>
            <w:pPr>
              <w:spacing w:line="360" w:lineRule="auto"/>
              <w:rPr>
                <w:rFonts w:ascii="Times New Roman" w:hAnsi="Times New Roman" w:eastAsia="宋体" w:cs="Times New Roman"/>
                <w:b/>
                <w:sz w:val="24"/>
                <w:szCs w:val="24"/>
              </w:rPr>
            </w:pPr>
            <w:r>
              <w:rPr>
                <w:rFonts w:hint="eastAsia" w:ascii="Times New Roman" w:hAnsi="Times New Roman" w:eastAsia="宋体" w:cs="Times New Roman"/>
                <w:b/>
                <w:sz w:val="24"/>
                <w:szCs w:val="24"/>
              </w:rPr>
              <w:t>5、地下水与土壤环境保护措施</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经现场勘查，项目选址内和厂界附近均为硬化地面、已建成厂房、道路及沿路边的绿化树。正常生产情况下，项目各原辅料及固体废物均置于厂车间内储存，不存在露天生产或储存的情况，即不存受雨水冲刷、淋溶出污染物的情况。</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项目水源采用市政供水，不使用地下水作为供水水源，不采用渗井、渗坑等方式排放废水，项目建设不会引起地下水水位下降或引起环境水文地质问题。</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生活污水用于周边农灌，不排人地下水中，因此，不会改变地下水系统原有的水动力平衡条件，也不会造成局部地下水水位下降等不利影响。项目厂房地面已做好硬化、防渗漏处理，预计不会对地下水、土壤环境造成影响。</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项目无生产废水排放：堆存车间地面硬化，不存在地面漫流和点源垂直进人地下水环境、土壤环境的途径。</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项目对地下水、土壤可能存在的影响主要为生活污水预处理过程中的池体及排污管道的泄漏。由于项目生活污水预处理池做了防腐、防渗的设计处理，不会带来因渗漏而引起地下水、土壤污染的问题，故本项目地下水、土壤无污染途径。</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公司不存在土壤、地下水污染途径，不会对土壤及地下水环境产生影响。</w:t>
            </w:r>
          </w:p>
          <w:p>
            <w:pPr>
              <w:spacing w:line="360" w:lineRule="auto"/>
              <w:jc w:val="left"/>
              <w:rPr>
                <w:rFonts w:ascii="Times New Roman" w:hAnsi="Times New Roman" w:eastAsia="宋体" w:cs="Times New Roman"/>
                <w:b/>
                <w:bCs/>
                <w:sz w:val="24"/>
              </w:rPr>
            </w:pPr>
            <w:r>
              <w:rPr>
                <w:rFonts w:ascii="Times New Roman" w:hAnsi="Times New Roman" w:eastAsia="宋体" w:cs="Times New Roman"/>
                <w:b/>
                <w:bCs/>
                <w:sz w:val="24"/>
              </w:rPr>
              <w:t>6</w:t>
            </w:r>
            <w:r>
              <w:rPr>
                <w:rFonts w:hint="eastAsia" w:ascii="Times New Roman" w:hAnsi="Times New Roman" w:eastAsia="宋体" w:cs="Times New Roman"/>
                <w:b/>
                <w:bCs/>
                <w:sz w:val="24"/>
              </w:rPr>
              <w:t>、环境风险</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对照《建设项目环境风险评价技术导则》（</w:t>
            </w:r>
            <w:r>
              <w:rPr>
                <w:rFonts w:ascii="Times New Roman" w:hAnsi="Times New Roman" w:eastAsia="宋体" w:cs="Times New Roman"/>
                <w:sz w:val="24"/>
              </w:rPr>
              <w:t>HJ169-2018</w:t>
            </w:r>
            <w:r>
              <w:rPr>
                <w:rFonts w:hint="eastAsia" w:ascii="Times New Roman" w:hAnsi="Times New Roman" w:eastAsia="宋体" w:cs="Times New Roman"/>
                <w:sz w:val="24"/>
              </w:rPr>
              <w:t>）</w:t>
            </w:r>
            <w:r>
              <w:rPr>
                <w:rFonts w:ascii="Times New Roman" w:hAnsi="Times New Roman" w:eastAsia="宋体" w:cs="Times New Roman"/>
                <w:sz w:val="24"/>
              </w:rPr>
              <w:t>附录B1突发环境事件风险物质及临界量表，本项目不涉及环境风险物质。</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本项目风险因素主要为煤炭长期存放产生火灾事故。长期堆积的煤炭由于自热可能会发生自燃情况或者遇明火发生燃烧事故，燃烧产生的一氧化碳等有害气体危害周围人群健康，消防水从厂门排出厂界，污染环境。</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针对可能发生的火灾事故，本项目运营过程中可采取以下措施：</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煤炭不能长期堆存，定期清理</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采取严格的防火措施</w:t>
            </w:r>
            <w:r>
              <w:rPr>
                <w:rFonts w:hint="eastAsia" w:ascii="Times New Roman" w:hAnsi="Times New Roman" w:eastAsia="宋体" w:cs="Times New Roman"/>
                <w:sz w:val="24"/>
              </w:rPr>
              <w:t>：</w:t>
            </w:r>
            <w:r>
              <w:rPr>
                <w:rFonts w:ascii="Times New Roman" w:hAnsi="Times New Roman" w:eastAsia="宋体" w:cs="Times New Roman"/>
                <w:sz w:val="24"/>
              </w:rPr>
              <w:t>厂区设计与建设必须严格按照《建筑设计防火规范》</w:t>
            </w:r>
            <w:r>
              <w:rPr>
                <w:rFonts w:hint="eastAsia" w:ascii="Times New Roman" w:hAnsi="Times New Roman" w:eastAsia="宋体" w:cs="Times New Roman"/>
                <w:sz w:val="24"/>
              </w:rPr>
              <w:t>（</w:t>
            </w:r>
            <w:r>
              <w:rPr>
                <w:rFonts w:ascii="Times New Roman" w:hAnsi="Times New Roman" w:eastAsia="宋体" w:cs="Times New Roman"/>
                <w:sz w:val="24"/>
              </w:rPr>
              <w:t>GB50016-2014</w:t>
            </w:r>
            <w:r>
              <w:rPr>
                <w:rFonts w:hint="eastAsia" w:ascii="Times New Roman" w:hAnsi="Times New Roman" w:eastAsia="宋体" w:cs="Times New Roman"/>
                <w:sz w:val="24"/>
              </w:rPr>
              <w:t>）</w:t>
            </w:r>
            <w:r>
              <w:rPr>
                <w:rFonts w:ascii="Times New Roman" w:hAnsi="Times New Roman" w:eastAsia="宋体" w:cs="Times New Roman"/>
                <w:sz w:val="24"/>
              </w:rPr>
              <w:t>进行</w:t>
            </w:r>
            <w:r>
              <w:rPr>
                <w:rFonts w:hint="eastAsia" w:ascii="Times New Roman" w:hAnsi="Times New Roman" w:eastAsia="宋体" w:cs="Times New Roman"/>
                <w:sz w:val="24"/>
              </w:rPr>
              <w:t>；</w:t>
            </w:r>
            <w:r>
              <w:rPr>
                <w:rFonts w:ascii="Times New Roman" w:hAnsi="Times New Roman" w:eastAsia="宋体" w:cs="Times New Roman"/>
                <w:sz w:val="24"/>
              </w:rPr>
              <w:t>设置灭火器等消防器材，并做好日常维护保养和管理</w:t>
            </w:r>
            <w:r>
              <w:rPr>
                <w:rFonts w:hint="eastAsia" w:ascii="Times New Roman" w:hAnsi="Times New Roman" w:eastAsia="宋体" w:cs="Times New Roman"/>
                <w:sz w:val="24"/>
              </w:rPr>
              <w:t>；</w:t>
            </w:r>
            <w:r>
              <w:rPr>
                <w:rFonts w:ascii="Times New Roman" w:hAnsi="Times New Roman" w:eastAsia="宋体" w:cs="Times New Roman"/>
                <w:sz w:val="24"/>
              </w:rPr>
              <w:t>定期进行消防检查，特别是对变电设备和供电线路进行检查和维修，避免发生由设备故障或电路老化造成的火灾，消除火险隐患</w:t>
            </w:r>
            <w:r>
              <w:rPr>
                <w:rFonts w:hint="eastAsia" w:ascii="Times New Roman" w:hAnsi="Times New Roman" w:eastAsia="宋体" w:cs="Times New Roman"/>
                <w:sz w:val="24"/>
              </w:rPr>
              <w:t>；</w:t>
            </w:r>
            <w:r>
              <w:rPr>
                <w:rFonts w:ascii="Times New Roman" w:hAnsi="Times New Roman" w:eastAsia="宋体" w:cs="Times New Roman"/>
                <w:sz w:val="24"/>
              </w:rPr>
              <w:t>厂区内严禁烟火，在厂区内明显地方张贴警示牌</w:t>
            </w:r>
            <w:r>
              <w:rPr>
                <w:rFonts w:hint="eastAsia" w:ascii="Times New Roman" w:hAnsi="Times New Roman" w:eastAsia="宋体" w:cs="Times New Roman"/>
                <w:sz w:val="24"/>
              </w:rPr>
              <w:t>；</w:t>
            </w:r>
            <w:r>
              <w:rPr>
                <w:rFonts w:ascii="Times New Roman" w:hAnsi="Times New Roman" w:eastAsia="宋体" w:cs="Times New Roman"/>
                <w:sz w:val="24"/>
              </w:rPr>
              <w:t>在全厂范围内开展消防宣传教育普及消防知识</w:t>
            </w:r>
            <w:r>
              <w:rPr>
                <w:rFonts w:hint="eastAsia" w:ascii="Times New Roman" w:hAnsi="Times New Roman" w:eastAsia="宋体" w:cs="Times New Roman"/>
                <w:sz w:val="24"/>
              </w:rPr>
              <w:t>；</w:t>
            </w:r>
            <w:r>
              <w:rPr>
                <w:rFonts w:ascii="Times New Roman" w:hAnsi="Times New Roman" w:eastAsia="宋体" w:cs="Times New Roman"/>
                <w:sz w:val="24"/>
              </w:rPr>
              <w:t>将消防管理纳入管理日程，做到与生产同时计划、布置、检查、总结、评比</w:t>
            </w:r>
            <w:r>
              <w:rPr>
                <w:rFonts w:hint="eastAsia" w:ascii="Times New Roman" w:hAnsi="Times New Roman" w:eastAsia="宋体" w:cs="Times New Roman"/>
                <w:sz w:val="24"/>
              </w:rPr>
              <w:t>；</w:t>
            </w:r>
            <w:r>
              <w:rPr>
                <w:rFonts w:ascii="Times New Roman" w:hAnsi="Times New Roman" w:eastAsia="宋体" w:cs="Times New Roman"/>
                <w:sz w:val="24"/>
              </w:rPr>
              <w:t>严格用火管理，厂区内凡需动火作业，必须经相关负责人审批等。</w:t>
            </w:r>
          </w:p>
          <w:p>
            <w:pPr>
              <w:spacing w:line="360" w:lineRule="auto"/>
              <w:ind w:firstLine="480" w:firstLineChars="200"/>
              <w:jc w:val="left"/>
              <w:rPr>
                <w:rFonts w:ascii="Times New Roman" w:hAnsi="Times New Roman" w:eastAsia="宋体" w:cs="Times New Roman"/>
                <w:b/>
                <w:kern w:val="0"/>
                <w:sz w:val="24"/>
                <w:szCs w:val="24"/>
              </w:rPr>
            </w:pPr>
            <w:r>
              <w:rPr>
                <w:rFonts w:hint="eastAsia" w:ascii="Times New Roman" w:hAnsi="Times New Roman" w:eastAsia="宋体" w:cs="Times New Roman"/>
                <w:sz w:val="24"/>
              </w:rPr>
              <w:t>综上所述，本项目主要事故风险类型为火灾。建设单位严格落实本次评价提出的环境风险防范措施，并按所提措施及要求进行规范管理，本项目环境风险可以防控。</w:t>
            </w:r>
          </w:p>
        </w:tc>
      </w:tr>
    </w:tbl>
    <w:p>
      <w:pPr>
        <w:pStyle w:val="2"/>
        <w:sectPr>
          <w:pgSz w:w="11906" w:h="16838"/>
          <w:pgMar w:top="1418" w:right="1418" w:bottom="1418" w:left="1418" w:header="851" w:footer="992" w:gutter="0"/>
          <w:pgNumType w:fmt="numberInDash"/>
          <w:cols w:space="425" w:num="1"/>
          <w:docGrid w:type="lines" w:linePitch="312" w:charSpace="0"/>
        </w:sectPr>
      </w:pPr>
    </w:p>
    <w:p>
      <w:pPr>
        <w:tabs>
          <w:tab w:val="left" w:pos="993"/>
        </w:tabs>
        <w:jc w:val="center"/>
        <w:outlineLvl w:val="0"/>
        <w:rPr>
          <w:rFonts w:ascii="Times New Roman" w:hAnsi="Times New Roman" w:eastAsia="宋体" w:cs="Times New Roman"/>
          <w:b/>
          <w:bCs/>
          <w:color w:val="000000"/>
          <w:kern w:val="44"/>
          <w:sz w:val="30"/>
          <w:szCs w:val="30"/>
        </w:rPr>
      </w:pPr>
      <w:bookmarkStart w:id="54" w:name="_Toc147996967"/>
      <w:bookmarkStart w:id="55" w:name="_Toc147539449"/>
      <w:bookmarkStart w:id="56" w:name="_Toc141772425"/>
      <w:r>
        <w:rPr>
          <w:rFonts w:hint="eastAsia" w:ascii="Times New Roman" w:hAnsi="Times New Roman" w:eastAsia="宋体" w:cs="Times New Roman"/>
          <w:b/>
          <w:bCs/>
          <w:color w:val="000000"/>
          <w:kern w:val="44"/>
          <w:sz w:val="30"/>
          <w:szCs w:val="30"/>
        </w:rPr>
        <w:t>五、环境保护措施监督检查清单</w:t>
      </w:r>
      <w:bookmarkEnd w:id="54"/>
      <w:bookmarkEnd w:id="55"/>
      <w:bookmarkEnd w:id="56"/>
    </w:p>
    <w:tbl>
      <w:tblPr>
        <w:tblStyle w:val="7"/>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419"/>
        <w:gridCol w:w="2091"/>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pPr>
              <w:adjustRightInd w:val="0"/>
              <w:snapToGrid w:val="0"/>
              <w:ind w:firstLine="840"/>
              <w:rPr>
                <w:rFonts w:ascii="宋体" w:hAnsi="宋体" w:eastAsia="宋体" w:cs="宋体"/>
                <w:szCs w:val="21"/>
              </w:rPr>
            </w:pPr>
            <w:r>
              <w:rPr>
                <w:rFonts w:hint="eastAsia" w:ascii="宋体" w:hAnsi="宋体" w:eastAsia="宋体" w:cs="宋体"/>
                <w:szCs w:val="21"/>
              </w:rPr>
              <w:t>内容</w:t>
            </w:r>
          </w:p>
          <w:p>
            <w:pPr>
              <w:adjustRightInd w:val="0"/>
              <w:snapToGrid w:val="0"/>
              <w:rPr>
                <w:rFonts w:ascii="宋体" w:hAnsi="宋体" w:eastAsia="宋体" w:cs="宋体"/>
                <w:szCs w:val="21"/>
              </w:rPr>
            </w:pPr>
            <w:r>
              <w:rPr>
                <w:rFonts w:hint="eastAsia" w:ascii="宋体" w:hAnsi="宋体" w:eastAsia="宋体" w:cs="宋体"/>
                <w:szCs w:val="21"/>
              </w:rPr>
              <w:t>要素</w:t>
            </w:r>
          </w:p>
        </w:tc>
        <w:tc>
          <w:tcPr>
            <w:tcW w:w="1755"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排放口(编号、</w:t>
            </w:r>
          </w:p>
          <w:p>
            <w:pPr>
              <w:adjustRightInd w:val="0"/>
              <w:snapToGrid w:val="0"/>
              <w:jc w:val="center"/>
              <w:rPr>
                <w:rFonts w:ascii="宋体" w:hAnsi="宋体" w:eastAsia="宋体" w:cs="宋体"/>
                <w:szCs w:val="21"/>
              </w:rPr>
            </w:pPr>
            <w:r>
              <w:rPr>
                <w:rFonts w:hint="eastAsia" w:ascii="宋体" w:hAnsi="宋体" w:eastAsia="宋体" w:cs="宋体"/>
                <w:szCs w:val="21"/>
              </w:rPr>
              <w:t>名称)/污染源</w:t>
            </w:r>
          </w:p>
        </w:tc>
        <w:tc>
          <w:tcPr>
            <w:tcW w:w="1419"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污染物项目</w:t>
            </w:r>
          </w:p>
        </w:tc>
        <w:tc>
          <w:tcPr>
            <w:tcW w:w="2091"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环境保护措施</w:t>
            </w:r>
          </w:p>
        </w:tc>
        <w:tc>
          <w:tcPr>
            <w:tcW w:w="1757"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大气环境</w:t>
            </w:r>
          </w:p>
        </w:tc>
        <w:tc>
          <w:tcPr>
            <w:tcW w:w="1755" w:type="dxa"/>
            <w:vAlign w:val="center"/>
          </w:tcPr>
          <w:p>
            <w:pPr>
              <w:adjustRightInd w:val="0"/>
              <w:snapToGrid w:val="0"/>
              <w:jc w:val="center"/>
              <w:rPr>
                <w:rFonts w:ascii="Times New Roman" w:hAnsi="Times New Roman" w:eastAsia="宋体" w:cs="宋体"/>
                <w:szCs w:val="21"/>
              </w:rPr>
            </w:pPr>
            <w:r>
              <w:rPr>
                <w:rFonts w:hint="eastAsia" w:ascii="Times New Roman" w:hAnsi="Times New Roman" w:eastAsia="宋体" w:cs="宋体"/>
                <w:szCs w:val="21"/>
              </w:rPr>
              <w:t>运输扬尘</w:t>
            </w:r>
          </w:p>
        </w:tc>
        <w:tc>
          <w:tcPr>
            <w:tcW w:w="1419" w:type="dxa"/>
            <w:vAlign w:val="center"/>
          </w:tcPr>
          <w:p>
            <w:pPr>
              <w:jc w:val="center"/>
              <w:rPr>
                <w:rFonts w:ascii="Times New Roman" w:hAnsi="Times New Roman" w:eastAsia="宋体" w:cs="宋体"/>
                <w:szCs w:val="21"/>
              </w:rPr>
            </w:pPr>
            <w:r>
              <w:rPr>
                <w:rFonts w:hint="eastAsia" w:ascii="Times New Roman" w:hAnsi="Times New Roman" w:eastAsia="宋体" w:cs="宋体"/>
                <w:szCs w:val="21"/>
              </w:rPr>
              <w:t>颗粒物</w:t>
            </w:r>
          </w:p>
        </w:tc>
        <w:tc>
          <w:tcPr>
            <w:tcW w:w="2091" w:type="dxa"/>
            <w:vAlign w:val="center"/>
          </w:tcPr>
          <w:p>
            <w:pPr>
              <w:adjustRightInd w:val="0"/>
              <w:snapToGrid w:val="0"/>
              <w:jc w:val="center"/>
              <w:rPr>
                <w:rFonts w:ascii="Times New Roman" w:hAnsi="Times New Roman" w:eastAsia="宋体" w:cs="宋体"/>
                <w:szCs w:val="21"/>
              </w:rPr>
            </w:pPr>
            <w:r>
              <w:rPr>
                <w:rFonts w:hint="eastAsia" w:ascii="Times New Roman" w:hAnsi="Times New Roman" w:eastAsia="宋体" w:cs="宋体"/>
                <w:szCs w:val="21"/>
              </w:rPr>
              <w:t>车辆轮胎清洗+洒水降尘+运输加盖篷布</w:t>
            </w:r>
          </w:p>
        </w:tc>
        <w:tc>
          <w:tcPr>
            <w:tcW w:w="1757"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《煤炭工业污染物排放标准》（</w:t>
            </w:r>
            <w:r>
              <w:rPr>
                <w:rFonts w:ascii="Times New Roman" w:hAnsi="Times New Roman" w:eastAsia="宋体" w:cs="Times New Roman"/>
                <w:szCs w:val="21"/>
              </w:rPr>
              <w:t>GB20426-2006）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ascii="宋体" w:hAnsi="宋体" w:eastAsia="宋体" w:cs="宋体"/>
                <w:szCs w:val="21"/>
              </w:rPr>
            </w:pPr>
          </w:p>
        </w:tc>
        <w:tc>
          <w:tcPr>
            <w:tcW w:w="1755" w:type="dxa"/>
            <w:vAlign w:val="center"/>
          </w:tcPr>
          <w:p>
            <w:pPr>
              <w:adjustRightInd w:val="0"/>
              <w:snapToGrid w:val="0"/>
              <w:jc w:val="center"/>
              <w:rPr>
                <w:rFonts w:ascii="Times New Roman" w:hAnsi="Times New Roman" w:eastAsia="宋体" w:cs="宋体"/>
                <w:szCs w:val="21"/>
              </w:rPr>
            </w:pPr>
            <w:r>
              <w:rPr>
                <w:rFonts w:hint="eastAsia" w:ascii="Times New Roman" w:hAnsi="Times New Roman" w:eastAsia="宋体" w:cs="宋体"/>
                <w:szCs w:val="21"/>
              </w:rPr>
              <w:t>装卸扬尘</w:t>
            </w:r>
          </w:p>
        </w:tc>
        <w:tc>
          <w:tcPr>
            <w:tcW w:w="1419" w:type="dxa"/>
            <w:vAlign w:val="center"/>
          </w:tcPr>
          <w:p>
            <w:pPr>
              <w:jc w:val="center"/>
              <w:rPr>
                <w:rFonts w:ascii="Times New Roman" w:hAnsi="Times New Roman" w:eastAsia="宋体" w:cs="宋体"/>
                <w:szCs w:val="21"/>
              </w:rPr>
            </w:pPr>
            <w:r>
              <w:rPr>
                <w:rFonts w:hint="eastAsia" w:ascii="Times New Roman" w:hAnsi="Times New Roman" w:eastAsia="宋体" w:cs="宋体"/>
                <w:szCs w:val="21"/>
              </w:rPr>
              <w:t>颗粒物</w:t>
            </w:r>
          </w:p>
        </w:tc>
        <w:tc>
          <w:tcPr>
            <w:tcW w:w="2091" w:type="dxa"/>
            <w:vAlign w:val="center"/>
          </w:tcPr>
          <w:p>
            <w:pPr>
              <w:adjustRightInd w:val="0"/>
              <w:snapToGrid w:val="0"/>
              <w:jc w:val="center"/>
              <w:rPr>
                <w:rFonts w:ascii="Times New Roman" w:hAnsi="Times New Roman" w:eastAsia="宋体" w:cs="宋体"/>
                <w:szCs w:val="21"/>
              </w:rPr>
            </w:pPr>
            <w:r>
              <w:rPr>
                <w:rFonts w:hint="eastAsia" w:ascii="Times New Roman" w:hAnsi="Times New Roman" w:eastAsia="宋体" w:cs="宋体"/>
                <w:szCs w:val="21"/>
              </w:rPr>
              <w:t>洒水降尘</w:t>
            </w:r>
          </w:p>
        </w:tc>
        <w:tc>
          <w:tcPr>
            <w:tcW w:w="1757" w:type="dxa"/>
            <w:vMerge w:val="continue"/>
            <w:vAlign w:val="center"/>
          </w:tcPr>
          <w:p>
            <w:pPr>
              <w:adjustRightInd w:val="0"/>
              <w:snapToGrid w:val="0"/>
              <w:jc w:val="center"/>
              <w:rPr>
                <w:rFonts w:ascii="Times New Roman"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ascii="宋体" w:hAnsi="宋体" w:eastAsia="宋体" w:cs="宋体"/>
                <w:szCs w:val="21"/>
              </w:rPr>
            </w:pPr>
          </w:p>
        </w:tc>
        <w:tc>
          <w:tcPr>
            <w:tcW w:w="1755" w:type="dxa"/>
            <w:vAlign w:val="center"/>
          </w:tcPr>
          <w:p>
            <w:pPr>
              <w:adjustRightInd w:val="0"/>
              <w:snapToGrid w:val="0"/>
              <w:jc w:val="center"/>
              <w:rPr>
                <w:rFonts w:ascii="Times New Roman" w:hAnsi="Times New Roman" w:eastAsia="宋体" w:cs="宋体"/>
                <w:szCs w:val="21"/>
              </w:rPr>
            </w:pPr>
            <w:r>
              <w:rPr>
                <w:rFonts w:hint="eastAsia" w:ascii="Times New Roman" w:hAnsi="Times New Roman" w:eastAsia="宋体" w:cs="宋体"/>
                <w:szCs w:val="21"/>
              </w:rPr>
              <w:t>堆煤厂扬尘</w:t>
            </w:r>
          </w:p>
        </w:tc>
        <w:tc>
          <w:tcPr>
            <w:tcW w:w="1419" w:type="dxa"/>
            <w:vAlign w:val="center"/>
          </w:tcPr>
          <w:p>
            <w:pPr>
              <w:jc w:val="center"/>
              <w:rPr>
                <w:rFonts w:ascii="Times New Roman" w:hAnsi="Times New Roman" w:eastAsia="宋体" w:cs="宋体"/>
                <w:szCs w:val="21"/>
              </w:rPr>
            </w:pPr>
            <w:r>
              <w:rPr>
                <w:rFonts w:hint="eastAsia" w:ascii="Times New Roman" w:hAnsi="Times New Roman" w:eastAsia="宋体" w:cs="宋体"/>
                <w:szCs w:val="21"/>
              </w:rPr>
              <w:t>颗粒物</w:t>
            </w:r>
          </w:p>
        </w:tc>
        <w:tc>
          <w:tcPr>
            <w:tcW w:w="2091" w:type="dxa"/>
            <w:vAlign w:val="center"/>
          </w:tcPr>
          <w:p>
            <w:pPr>
              <w:adjustRightInd w:val="0"/>
              <w:snapToGrid w:val="0"/>
              <w:jc w:val="center"/>
              <w:rPr>
                <w:rFonts w:ascii="Times New Roman" w:hAnsi="Times New Roman" w:eastAsia="宋体" w:cs="宋体"/>
                <w:szCs w:val="21"/>
              </w:rPr>
            </w:pPr>
            <w:r>
              <w:rPr>
                <w:rFonts w:hint="eastAsia" w:ascii="Times New Roman" w:hAnsi="Times New Roman" w:eastAsia="宋体" w:cs="宋体"/>
                <w:szCs w:val="21"/>
              </w:rPr>
              <w:t>四面围挡+洒水降尘</w:t>
            </w:r>
          </w:p>
        </w:tc>
        <w:tc>
          <w:tcPr>
            <w:tcW w:w="1757" w:type="dxa"/>
            <w:vMerge w:val="continue"/>
            <w:vAlign w:val="center"/>
          </w:tcPr>
          <w:p>
            <w:pPr>
              <w:adjustRightInd w:val="0"/>
              <w:snapToGrid w:val="0"/>
              <w:jc w:val="center"/>
              <w:rPr>
                <w:rFonts w:ascii="Times New Roman"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ascii="宋体" w:hAnsi="宋体" w:eastAsia="宋体" w:cs="宋体"/>
                <w:szCs w:val="21"/>
              </w:rPr>
            </w:pPr>
          </w:p>
        </w:tc>
        <w:tc>
          <w:tcPr>
            <w:tcW w:w="1755" w:type="dxa"/>
            <w:vAlign w:val="center"/>
          </w:tcPr>
          <w:p>
            <w:pPr>
              <w:adjustRightInd w:val="0"/>
              <w:snapToGrid w:val="0"/>
              <w:jc w:val="center"/>
              <w:rPr>
                <w:rFonts w:ascii="Times New Roman" w:hAnsi="Times New Roman" w:eastAsia="宋体" w:cs="宋体"/>
                <w:szCs w:val="21"/>
              </w:rPr>
            </w:pPr>
            <w:r>
              <w:rPr>
                <w:rFonts w:hint="eastAsia" w:ascii="Times New Roman" w:hAnsi="Times New Roman" w:eastAsia="宋体" w:cs="宋体"/>
                <w:szCs w:val="21"/>
              </w:rPr>
              <w:t>车辆运输尾气</w:t>
            </w:r>
          </w:p>
        </w:tc>
        <w:tc>
          <w:tcPr>
            <w:tcW w:w="1419" w:type="dxa"/>
            <w:vAlign w:val="center"/>
          </w:tcPr>
          <w:p>
            <w:pPr>
              <w:jc w:val="center"/>
              <w:rPr>
                <w:rFonts w:ascii="Times New Roman" w:hAnsi="Times New Roman" w:eastAsia="宋体" w:cs="宋体"/>
                <w:szCs w:val="21"/>
              </w:rPr>
            </w:pPr>
            <w:r>
              <w:rPr>
                <w:rFonts w:hint="eastAsia" w:ascii="Times New Roman" w:hAnsi="Times New Roman" w:eastAsia="宋体" w:cs="宋体"/>
                <w:szCs w:val="21"/>
              </w:rPr>
              <w:t>NOx、CO</w:t>
            </w:r>
          </w:p>
        </w:tc>
        <w:tc>
          <w:tcPr>
            <w:tcW w:w="2091" w:type="dxa"/>
            <w:vAlign w:val="center"/>
          </w:tcPr>
          <w:p>
            <w:pPr>
              <w:adjustRightInd w:val="0"/>
              <w:snapToGrid w:val="0"/>
              <w:jc w:val="center"/>
              <w:rPr>
                <w:rFonts w:ascii="Times New Roman" w:hAnsi="Times New Roman" w:eastAsia="宋体" w:cs="宋体"/>
                <w:szCs w:val="21"/>
              </w:rPr>
            </w:pPr>
            <w:r>
              <w:rPr>
                <w:rFonts w:hint="eastAsia" w:ascii="Times New Roman" w:hAnsi="Times New Roman" w:eastAsia="宋体" w:cs="宋体"/>
                <w:szCs w:val="21"/>
              </w:rPr>
              <w:t>/</w:t>
            </w:r>
          </w:p>
        </w:tc>
        <w:tc>
          <w:tcPr>
            <w:tcW w:w="175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地表水环境</w:t>
            </w:r>
          </w:p>
        </w:tc>
        <w:tc>
          <w:tcPr>
            <w:tcW w:w="1755"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生活废水</w:t>
            </w:r>
          </w:p>
        </w:tc>
        <w:tc>
          <w:tcPr>
            <w:tcW w:w="1419" w:type="dxa"/>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COD、BOD</w:t>
            </w:r>
            <w:r>
              <w:rPr>
                <w:rFonts w:ascii="Times New Roman" w:hAnsi="Times New Roman" w:eastAsia="宋体" w:cs="Times New Roman"/>
                <w:szCs w:val="21"/>
                <w:vertAlign w:val="subscript"/>
              </w:rPr>
              <w:t>5</w:t>
            </w:r>
            <w:r>
              <w:rPr>
                <w:rFonts w:ascii="Times New Roman" w:hAnsi="Times New Roman" w:eastAsia="宋体" w:cs="Times New Roman"/>
                <w:szCs w:val="21"/>
              </w:rPr>
              <w:t>、SS、NH</w:t>
            </w:r>
            <w:r>
              <w:rPr>
                <w:rFonts w:ascii="Times New Roman" w:hAnsi="Times New Roman" w:eastAsia="宋体" w:cs="Times New Roman"/>
                <w:szCs w:val="21"/>
                <w:vertAlign w:val="subscript"/>
              </w:rPr>
              <w:t>3</w:t>
            </w:r>
            <w:r>
              <w:rPr>
                <w:rFonts w:ascii="Times New Roman" w:hAnsi="Times New Roman" w:eastAsia="宋体" w:cs="Times New Roman"/>
                <w:szCs w:val="21"/>
              </w:rPr>
              <w:t xml:space="preserve">-N </w:t>
            </w:r>
          </w:p>
        </w:tc>
        <w:tc>
          <w:tcPr>
            <w:tcW w:w="209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经过化粪池预处理后用于周边农灌</w:t>
            </w:r>
          </w:p>
        </w:tc>
        <w:tc>
          <w:tcPr>
            <w:tcW w:w="1757"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ascii="宋体" w:hAnsi="宋体" w:eastAsia="宋体" w:cs="宋体"/>
                <w:szCs w:val="21"/>
              </w:rPr>
            </w:pPr>
          </w:p>
        </w:tc>
        <w:tc>
          <w:tcPr>
            <w:tcW w:w="1755"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煤炭区域喷淋及道路洒水产生的废水</w:t>
            </w:r>
          </w:p>
        </w:tc>
        <w:tc>
          <w:tcPr>
            <w:tcW w:w="1419" w:type="dxa"/>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SS</w:t>
            </w:r>
          </w:p>
        </w:tc>
        <w:tc>
          <w:tcPr>
            <w:tcW w:w="209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自然蒸发</w:t>
            </w:r>
          </w:p>
        </w:tc>
        <w:tc>
          <w:tcPr>
            <w:tcW w:w="175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ascii="宋体" w:hAnsi="宋体" w:eastAsia="宋体" w:cs="宋体"/>
                <w:szCs w:val="21"/>
              </w:rPr>
            </w:pPr>
          </w:p>
        </w:tc>
        <w:tc>
          <w:tcPr>
            <w:tcW w:w="1755"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洗车废水</w:t>
            </w:r>
          </w:p>
        </w:tc>
        <w:tc>
          <w:tcPr>
            <w:tcW w:w="1419" w:type="dxa"/>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SS</w:t>
            </w:r>
          </w:p>
        </w:tc>
        <w:tc>
          <w:tcPr>
            <w:tcW w:w="209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经过沉淀池沉淀后回用</w:t>
            </w:r>
          </w:p>
        </w:tc>
        <w:tc>
          <w:tcPr>
            <w:tcW w:w="175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ascii="宋体" w:hAnsi="宋体" w:eastAsia="宋体" w:cs="宋体"/>
                <w:szCs w:val="21"/>
              </w:rPr>
            </w:pPr>
          </w:p>
        </w:tc>
        <w:tc>
          <w:tcPr>
            <w:tcW w:w="1755"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初期雨水</w:t>
            </w:r>
          </w:p>
        </w:tc>
        <w:tc>
          <w:tcPr>
            <w:tcW w:w="1419" w:type="dxa"/>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SS</w:t>
            </w:r>
          </w:p>
        </w:tc>
        <w:tc>
          <w:tcPr>
            <w:tcW w:w="209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经过沉淀池沉淀后回用洒水降尘或达标排放</w:t>
            </w:r>
          </w:p>
        </w:tc>
        <w:tc>
          <w:tcPr>
            <w:tcW w:w="175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《废水综合排放标准》（</w:t>
            </w:r>
            <w:r>
              <w:rPr>
                <w:rFonts w:ascii="Times New Roman" w:hAnsi="Times New Roman" w:eastAsia="宋体" w:cs="Times New Roman"/>
                <w:szCs w:val="21"/>
              </w:rPr>
              <w:t>GB8978-1996）表2一级排放标准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声环境</w:t>
            </w:r>
          </w:p>
        </w:tc>
        <w:tc>
          <w:tcPr>
            <w:tcW w:w="1755"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设备噪声</w:t>
            </w:r>
          </w:p>
        </w:tc>
        <w:tc>
          <w:tcPr>
            <w:tcW w:w="1419"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噪声</w:t>
            </w:r>
          </w:p>
        </w:tc>
        <w:tc>
          <w:tcPr>
            <w:tcW w:w="2091"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减震基座、厂房隔声</w:t>
            </w:r>
          </w:p>
        </w:tc>
        <w:tc>
          <w:tcPr>
            <w:tcW w:w="1757" w:type="dxa"/>
            <w:vAlign w:val="center"/>
          </w:tcPr>
          <w:p>
            <w:pPr>
              <w:adjustRightInd w:val="0"/>
              <w:snapToGrid w:val="0"/>
              <w:jc w:val="center"/>
              <w:rPr>
                <w:rFonts w:ascii="宋体" w:hAnsi="宋体" w:eastAsia="宋体" w:cs="宋体"/>
                <w:szCs w:val="21"/>
              </w:rPr>
            </w:pPr>
            <w:r>
              <w:rPr>
                <w:rFonts w:hint="eastAsia" w:ascii="Times New Roman" w:hAnsi="Times New Roman" w:eastAsia="宋体" w:cs="Times New Roman"/>
                <w:szCs w:val="21"/>
              </w:rPr>
              <w:t>工业企业厂界环境噪声排放标准》（</w:t>
            </w:r>
            <w:r>
              <w:rPr>
                <w:rFonts w:ascii="Times New Roman" w:hAnsi="Times New Roman" w:eastAsia="宋体" w:cs="Times New Roman"/>
                <w:szCs w:val="21"/>
              </w:rPr>
              <w:t>GB12348-2008</w:t>
            </w:r>
            <w:r>
              <w:rPr>
                <w:rFonts w:hint="eastAsia" w:ascii="Times New Roman" w:hAnsi="Times New Roman" w:eastAsia="宋体" w:cs="Times New Roman"/>
                <w:szCs w:val="21"/>
              </w:rPr>
              <w:t>）中</w:t>
            </w:r>
            <w:r>
              <w:rPr>
                <w:rFonts w:ascii="Times New Roman" w:hAnsi="Times New Roman" w:eastAsia="宋体" w:cs="Times New Roman"/>
                <w:szCs w:val="21"/>
              </w:rPr>
              <w:t xml:space="preserve">2 </w:t>
            </w:r>
            <w:r>
              <w:rPr>
                <w:rFonts w:hint="eastAsia" w:ascii="Times New Roman" w:hAnsi="Times New Roman" w:eastAsia="宋体" w:cs="Times New Roman"/>
                <w:szCs w:val="21"/>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778"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电磁辐射</w:t>
            </w:r>
          </w:p>
        </w:tc>
        <w:tc>
          <w:tcPr>
            <w:tcW w:w="7022" w:type="dxa"/>
            <w:gridSpan w:val="4"/>
            <w:vAlign w:val="center"/>
          </w:tcPr>
          <w:p>
            <w:pPr>
              <w:adjustRightInd w:val="0"/>
              <w:snapToGrid w:val="0"/>
              <w:jc w:val="center"/>
              <w:rPr>
                <w:rFonts w:ascii="宋体" w:hAnsi="宋体" w:eastAsia="宋体" w:cs="宋体"/>
                <w:szCs w:val="21"/>
              </w:rPr>
            </w:pPr>
            <w:r>
              <w:rPr>
                <w:rFonts w:hint="eastAsia" w:ascii="宋体" w:hAnsi="宋体" w:eastAsia="宋体" w:cs="宋体"/>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778"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固体废物</w:t>
            </w:r>
          </w:p>
        </w:tc>
        <w:tc>
          <w:tcPr>
            <w:tcW w:w="7022" w:type="dxa"/>
            <w:gridSpan w:val="4"/>
            <w:vAlign w:val="center"/>
          </w:tcPr>
          <w:p>
            <w:pPr>
              <w:adjustRightInd w:val="0"/>
              <w:snapToGrid w:val="0"/>
              <w:jc w:val="left"/>
              <w:rPr>
                <w:rFonts w:ascii="宋体" w:hAnsi="宋体" w:eastAsia="宋体" w:cs="宋体"/>
                <w:szCs w:val="21"/>
              </w:rPr>
            </w:pPr>
            <w:r>
              <w:rPr>
                <w:rFonts w:hint="eastAsia" w:ascii="宋体" w:hAnsi="宋体" w:eastAsia="宋体" w:cs="宋体"/>
                <w:szCs w:val="21"/>
              </w:rPr>
              <w:t>生活垃圾集中收集后委托环卫部门每日统一清运，做到日产日清；沉淀池煤泥经过自然脱水后堆存于项目堆场做为产品外售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1778"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土壤及地下水</w:t>
            </w:r>
          </w:p>
          <w:p>
            <w:pPr>
              <w:adjustRightInd w:val="0"/>
              <w:snapToGrid w:val="0"/>
              <w:jc w:val="center"/>
              <w:rPr>
                <w:rFonts w:ascii="宋体" w:hAnsi="宋体" w:eastAsia="宋体" w:cs="宋体"/>
                <w:szCs w:val="21"/>
              </w:rPr>
            </w:pPr>
            <w:r>
              <w:rPr>
                <w:rFonts w:hint="eastAsia" w:ascii="宋体" w:hAnsi="宋体" w:eastAsia="宋体" w:cs="宋体"/>
                <w:szCs w:val="21"/>
              </w:rPr>
              <w:t>污染防治措施</w:t>
            </w:r>
          </w:p>
        </w:tc>
        <w:tc>
          <w:tcPr>
            <w:tcW w:w="7022" w:type="dxa"/>
            <w:gridSpan w:val="4"/>
            <w:vAlign w:val="center"/>
          </w:tcPr>
          <w:p>
            <w:pPr>
              <w:adjustRightInd w:val="0"/>
              <w:snapToGrid w:val="0"/>
              <w:jc w:val="center"/>
              <w:rPr>
                <w:rFonts w:ascii="宋体" w:hAnsi="宋体" w:eastAsia="宋体" w:cs="宋体"/>
                <w:szCs w:val="21"/>
              </w:rPr>
            </w:pPr>
            <w:r>
              <w:rPr>
                <w:rFonts w:hint="eastAsia" w:ascii="宋体" w:hAnsi="宋体" w:eastAsia="宋体" w:cs="宋体"/>
                <w:szCs w:val="21"/>
              </w:rPr>
              <w:t>要求建设单位对生产厂房、固废暂存区做好各区域的地面防渗方案，其余区域应采取一般防渗措施以应对可能发生的突发环境事件。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78"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生态保护措施</w:t>
            </w:r>
          </w:p>
        </w:tc>
        <w:tc>
          <w:tcPr>
            <w:tcW w:w="7022" w:type="dxa"/>
            <w:gridSpan w:val="4"/>
            <w:vAlign w:val="center"/>
          </w:tcPr>
          <w:p>
            <w:pPr>
              <w:jc w:val="center"/>
              <w:rPr>
                <w:rFonts w:ascii="宋体" w:hAnsi="宋体" w:eastAsia="宋体" w:cs="宋体"/>
                <w:szCs w:val="21"/>
              </w:rPr>
            </w:pPr>
            <w:r>
              <w:rPr>
                <w:rFonts w:hint="eastAsia" w:ascii="宋体" w:hAnsi="宋体" w:eastAsia="宋体" w:cs="宋体"/>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778" w:type="dxa"/>
            <w:vAlign w:val="center"/>
          </w:tcPr>
          <w:p>
            <w:pPr>
              <w:jc w:val="center"/>
              <w:rPr>
                <w:rFonts w:ascii="宋体" w:hAnsi="宋体" w:eastAsia="宋体" w:cs="宋体"/>
                <w:spacing w:val="-8"/>
                <w:szCs w:val="21"/>
              </w:rPr>
            </w:pPr>
            <w:r>
              <w:rPr>
                <w:rFonts w:hint="eastAsia" w:ascii="宋体" w:hAnsi="宋体" w:eastAsia="宋体" w:cs="宋体"/>
                <w:spacing w:val="-8"/>
                <w:szCs w:val="21"/>
              </w:rPr>
              <w:t>环境风险防范措施</w:t>
            </w:r>
          </w:p>
        </w:tc>
        <w:tc>
          <w:tcPr>
            <w:tcW w:w="7022" w:type="dxa"/>
            <w:gridSpan w:val="4"/>
            <w:vAlign w:val="center"/>
          </w:tcPr>
          <w:p>
            <w:pPr>
              <w:jc w:val="left"/>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1）煤炭不能长期堆存，定期清理</w:t>
            </w:r>
          </w:p>
          <w:p>
            <w:pPr>
              <w:jc w:val="left"/>
              <w:rPr>
                <w:rFonts w:ascii="宋体" w:hAnsi="宋体" w:eastAsia="宋体" w:cs="宋体"/>
                <w:szCs w:val="21"/>
              </w:rPr>
            </w:pPr>
            <w:r>
              <w:rPr>
                <w:rFonts w:hint="eastAsia" w:ascii="Times New Roman" w:hAnsi="Times New Roman" w:eastAsia="宋体" w:cs="Times New Roman"/>
                <w:szCs w:val="21"/>
              </w:rPr>
              <w:t>（</w:t>
            </w:r>
            <w:r>
              <w:rPr>
                <w:rFonts w:ascii="Times New Roman" w:hAnsi="Times New Roman" w:eastAsia="宋体" w:cs="Times New Roman"/>
                <w:szCs w:val="21"/>
              </w:rPr>
              <w:t>2）采取严格的防火措施：厂区设计与建设必须严格按照《建筑设计防火规范》（GB50016-2014）进行；设置灭火器等消防器材，并做好日常维护保养和管理；定期进行消防检查，特别是对变电设备和供电线路进行检查和维修，避免发生由设备故障或电路老化造成的火灾，消除火险隐患；厂区内严禁烟火，在厂区内明显地方张贴警示牌；在全厂范围内开展消防宣传教育普及消防知识；将消防管理纳入管理日程，做到与生产同时计划、布置、检查、总结、评比；严格用火管理，厂区内凡需动火作业，必须经相关负责人审批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1778" w:type="dxa"/>
            <w:vAlign w:val="center"/>
          </w:tcPr>
          <w:p>
            <w:pPr>
              <w:adjustRightInd w:val="0"/>
              <w:snapToGrid w:val="0"/>
              <w:jc w:val="center"/>
              <w:rPr>
                <w:rFonts w:ascii="宋体" w:hAnsi="宋体" w:eastAsia="宋体" w:cs="宋体"/>
                <w:spacing w:val="-8"/>
                <w:szCs w:val="21"/>
              </w:rPr>
            </w:pPr>
            <w:r>
              <w:rPr>
                <w:rFonts w:hint="eastAsia" w:ascii="宋体" w:hAnsi="宋体" w:eastAsia="宋体" w:cs="宋体"/>
                <w:spacing w:val="-8"/>
                <w:szCs w:val="21"/>
              </w:rPr>
              <w:t>其他环境</w:t>
            </w:r>
          </w:p>
          <w:p>
            <w:pPr>
              <w:adjustRightInd w:val="0"/>
              <w:snapToGrid w:val="0"/>
              <w:jc w:val="center"/>
              <w:rPr>
                <w:rFonts w:ascii="宋体" w:hAnsi="宋体" w:eastAsia="宋体" w:cs="宋体"/>
                <w:spacing w:val="-8"/>
                <w:szCs w:val="21"/>
              </w:rPr>
            </w:pPr>
            <w:r>
              <w:rPr>
                <w:rFonts w:hint="eastAsia" w:ascii="宋体" w:hAnsi="宋体" w:eastAsia="宋体" w:cs="宋体"/>
                <w:spacing w:val="-8"/>
                <w:szCs w:val="21"/>
              </w:rPr>
              <w:t>管理要求</w:t>
            </w:r>
          </w:p>
        </w:tc>
        <w:tc>
          <w:tcPr>
            <w:tcW w:w="7022" w:type="dxa"/>
            <w:gridSpan w:val="4"/>
            <w:vAlign w:val="center"/>
          </w:tcPr>
          <w:p>
            <w:pPr>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（1）竣工环境保护验收</w:t>
            </w:r>
          </w:p>
          <w:p>
            <w:pPr>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根据《建设项目竣工环境保护验收暂行办法》（国环规环评〔2017〕4 号）文件，建设单位作为建设项目竣工环境保护验收的责任主体，应当按照本办法规定的程序和标准，组织对配套建设的环境保护设施进行验收，并对验收内容、结论和所公开信息的真实性、准确性和完整性负责。建设项目配套建设的环境保护设施经验收合格，方可投入生产或者使用。</w:t>
            </w:r>
          </w:p>
          <w:p>
            <w:pPr>
              <w:ind w:firstLine="420" w:firstLineChars="200"/>
              <w:jc w:val="left"/>
              <w:rPr>
                <w:rFonts w:ascii="Times New Roman" w:hAnsi="Times New Roman" w:eastAsia="宋体" w:cs="宋体"/>
                <w:szCs w:val="21"/>
              </w:rPr>
            </w:pPr>
            <w:r>
              <w:rPr>
                <w:rFonts w:hint="eastAsia" w:ascii="Times New Roman" w:hAnsi="Times New Roman" w:eastAsia="宋体" w:cs="宋体"/>
                <w:szCs w:val="21"/>
              </w:rPr>
              <w:t>（2）排污许可</w:t>
            </w:r>
          </w:p>
          <w:p>
            <w:pPr>
              <w:ind w:firstLine="420" w:firstLineChars="200"/>
              <w:jc w:val="left"/>
              <w:rPr>
                <w:rFonts w:ascii="Times New Roman" w:hAnsi="Times New Roman" w:eastAsia="宋体" w:cs="宋体"/>
                <w:szCs w:val="21"/>
              </w:rPr>
            </w:pPr>
            <w:r>
              <w:rPr>
                <w:rFonts w:hint="eastAsia" w:ascii="Times New Roman" w:hAnsi="Times New Roman" w:eastAsia="宋体" w:cs="宋体"/>
                <w:szCs w:val="21"/>
              </w:rPr>
              <w:t>根据《排污许可管理办法》(试行) :第五条，实行排污许可重点管理或者简化管理的排污单位的具体范围，依照固定污染源排污许可分类管理名录规定执行。根据《固定污染源排污许可分类管理名录》 (2019 年版) ，对应排污许可等级为“登记管理”。</w:t>
            </w:r>
          </w:p>
          <w:p>
            <w:pPr>
              <w:ind w:firstLine="420" w:firstLineChars="200"/>
              <w:jc w:val="left"/>
              <w:rPr>
                <w:rFonts w:ascii="Times New Roman" w:hAnsi="Times New Roman" w:eastAsia="宋体" w:cs="宋体"/>
                <w:szCs w:val="21"/>
              </w:rPr>
            </w:pPr>
            <w:r>
              <w:rPr>
                <w:rFonts w:hint="eastAsia" w:ascii="Times New Roman" w:hAnsi="Times New Roman" w:eastAsia="宋体" w:cs="宋体"/>
                <w:szCs w:val="21"/>
              </w:rPr>
              <w:t>实行登记管理的排污单位，不需要申请取得排污许可证，建设单位应自行在全国排污许可证管理信息平台填报排污登记表，登记基本信息、污染物排放去向、执行的污染物排放标准以及采取的污染防治措施等信息。</w:t>
            </w:r>
          </w:p>
        </w:tc>
      </w:tr>
    </w:tbl>
    <w:p>
      <w:pPr>
        <w:pStyle w:val="2"/>
        <w:sectPr>
          <w:pgSz w:w="11906" w:h="16838"/>
          <w:pgMar w:top="1418" w:right="1418" w:bottom="1418" w:left="1418" w:header="851" w:footer="992" w:gutter="0"/>
          <w:pgNumType w:fmt="numberInDash"/>
          <w:cols w:space="425" w:num="1"/>
          <w:docGrid w:type="lines" w:linePitch="312" w:charSpace="0"/>
        </w:sectPr>
      </w:pPr>
    </w:p>
    <w:p>
      <w:pPr>
        <w:spacing w:line="360" w:lineRule="auto"/>
        <w:jc w:val="center"/>
        <w:outlineLvl w:val="0"/>
        <w:rPr>
          <w:rFonts w:ascii="Times New Roman" w:hAnsi="Times New Roman" w:eastAsia="宋体" w:cs="Times New Roman"/>
          <w:b/>
          <w:bCs/>
          <w:color w:val="000000"/>
          <w:kern w:val="44"/>
          <w:sz w:val="30"/>
          <w:szCs w:val="30"/>
        </w:rPr>
      </w:pPr>
      <w:bookmarkStart w:id="57" w:name="_Toc147996968"/>
      <w:bookmarkStart w:id="58" w:name="_Toc141772426"/>
      <w:bookmarkStart w:id="59" w:name="_Toc147539450"/>
      <w:bookmarkStart w:id="60" w:name="_Toc21935"/>
      <w:bookmarkStart w:id="61" w:name="_Toc102048892"/>
      <w:bookmarkStart w:id="62" w:name="_Toc95293588"/>
      <w:r>
        <w:rPr>
          <w:rFonts w:hint="eastAsia" w:ascii="Times New Roman" w:hAnsi="Times New Roman" w:eastAsia="宋体" w:cs="Times New Roman"/>
          <w:b/>
          <w:bCs/>
          <w:color w:val="000000"/>
          <w:kern w:val="44"/>
          <w:sz w:val="30"/>
          <w:szCs w:val="30"/>
        </w:rPr>
        <w:t>六、结论</w:t>
      </w:r>
      <w:bookmarkEnd w:id="57"/>
      <w:bookmarkEnd w:id="58"/>
      <w:bookmarkEnd w:id="59"/>
      <w:bookmarkEnd w:id="60"/>
      <w:bookmarkEnd w:id="61"/>
      <w:bookmarkEnd w:id="62"/>
    </w:p>
    <w:tbl>
      <w:tblPr>
        <w:tblStyle w:val="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42" w:type="dxa"/>
          </w:tcPr>
          <w:p>
            <w:pPr>
              <w:spacing w:line="360" w:lineRule="auto"/>
              <w:ind w:firstLine="480" w:firstLineChars="200"/>
              <w:jc w:val="left"/>
              <w:rPr>
                <w:rFonts w:ascii="Times New Roman" w:hAnsi="Times New Roman" w:eastAsia="宋体" w:cs="Times New Roman"/>
                <w:kern w:val="0"/>
                <w:sz w:val="24"/>
                <w:szCs w:val="20"/>
              </w:rPr>
            </w:pPr>
          </w:p>
          <w:p>
            <w:pPr>
              <w:spacing w:line="360" w:lineRule="auto"/>
              <w:ind w:firstLine="480" w:firstLineChars="200"/>
              <w:jc w:val="left"/>
              <w:rPr>
                <w:rFonts w:ascii="Times New Roman" w:hAnsi="Times New Roman" w:eastAsia="宋体" w:cs="Times New Roman"/>
                <w:kern w:val="0"/>
                <w:sz w:val="24"/>
                <w:szCs w:val="20"/>
              </w:rPr>
            </w:pPr>
          </w:p>
          <w:p>
            <w:pPr>
              <w:spacing w:line="360" w:lineRule="auto"/>
              <w:ind w:firstLine="480" w:firstLineChars="200"/>
              <w:jc w:val="left"/>
              <w:rPr>
                <w:rFonts w:ascii="Times New Roman" w:hAnsi="Times New Roman" w:eastAsia="宋体" w:cs="Times New Roman"/>
                <w:kern w:val="0"/>
                <w:sz w:val="24"/>
                <w:szCs w:val="20"/>
              </w:rPr>
            </w:pPr>
          </w:p>
          <w:p>
            <w:pPr>
              <w:spacing w:line="360" w:lineRule="auto"/>
              <w:ind w:firstLine="480" w:firstLineChars="200"/>
              <w:jc w:val="left"/>
              <w:rPr>
                <w:rFonts w:ascii="Times New Roman" w:hAnsi="Times New Roman" w:eastAsia="宋体" w:cs="Times New Roman"/>
                <w:kern w:val="0"/>
                <w:sz w:val="24"/>
                <w:szCs w:val="20"/>
              </w:rPr>
            </w:pPr>
          </w:p>
          <w:p>
            <w:pPr>
              <w:spacing w:line="360" w:lineRule="auto"/>
              <w:ind w:firstLine="480" w:firstLineChars="200"/>
              <w:jc w:val="left"/>
              <w:rPr>
                <w:rFonts w:ascii="Times New Roman" w:hAnsi="Times New Roman" w:eastAsia="宋体" w:cs="Times New Roman"/>
                <w:kern w:val="0"/>
                <w:sz w:val="24"/>
                <w:szCs w:val="20"/>
              </w:rPr>
            </w:pPr>
          </w:p>
          <w:p>
            <w:pPr>
              <w:spacing w:line="360" w:lineRule="auto"/>
              <w:ind w:firstLine="480" w:firstLineChars="200"/>
              <w:jc w:val="left"/>
              <w:rPr>
                <w:rFonts w:ascii="Times New Roman" w:hAnsi="Times New Roman" w:eastAsia="宋体" w:cs="Times New Roman"/>
                <w:kern w:val="0"/>
                <w:sz w:val="24"/>
                <w:szCs w:val="20"/>
              </w:rPr>
            </w:pPr>
          </w:p>
          <w:p>
            <w:pPr>
              <w:spacing w:line="360" w:lineRule="auto"/>
              <w:ind w:firstLine="480" w:firstLineChars="200"/>
              <w:jc w:val="left"/>
              <w:rPr>
                <w:rFonts w:ascii="Times New Roman" w:hAnsi="Times New Roman" w:eastAsia="宋体" w:cs="Times New Roman"/>
                <w:kern w:val="0"/>
                <w:sz w:val="24"/>
                <w:szCs w:val="20"/>
              </w:rPr>
            </w:pPr>
          </w:p>
          <w:p>
            <w:pPr>
              <w:spacing w:line="360" w:lineRule="auto"/>
              <w:ind w:firstLine="480" w:firstLineChars="200"/>
              <w:jc w:val="left"/>
              <w:rPr>
                <w:rFonts w:ascii="Times New Roman" w:hAnsi="Times New Roman" w:eastAsia="宋体" w:cs="Times New Roman"/>
                <w:kern w:val="0"/>
                <w:sz w:val="24"/>
                <w:szCs w:val="20"/>
              </w:rPr>
            </w:pPr>
          </w:p>
          <w:p>
            <w:pPr>
              <w:spacing w:line="360" w:lineRule="auto"/>
              <w:ind w:firstLine="480" w:firstLineChars="200"/>
              <w:jc w:val="left"/>
              <w:rPr>
                <w:rFonts w:ascii="Times New Roman" w:hAnsi="Times New Roman" w:eastAsia="宋体" w:cs="Times New Roman"/>
                <w:kern w:val="0"/>
                <w:sz w:val="24"/>
                <w:szCs w:val="20"/>
              </w:rPr>
            </w:pPr>
          </w:p>
          <w:p>
            <w:pPr>
              <w:spacing w:line="360" w:lineRule="auto"/>
              <w:ind w:firstLine="480" w:firstLineChars="200"/>
              <w:jc w:val="left"/>
              <w:rPr>
                <w:rFonts w:ascii="Times New Roman" w:hAnsi="Times New Roman" w:eastAsia="宋体" w:cs="Times New Roman"/>
                <w:kern w:val="0"/>
                <w:sz w:val="24"/>
                <w:szCs w:val="20"/>
              </w:rPr>
            </w:pPr>
          </w:p>
          <w:p>
            <w:pPr>
              <w:spacing w:line="360" w:lineRule="auto"/>
              <w:ind w:firstLine="480" w:firstLineChars="200"/>
              <w:jc w:val="left"/>
              <w:rPr>
                <w:rFonts w:ascii="Times New Roman" w:hAnsi="Times New Roman" w:eastAsia="宋体" w:cs="Times New Roman"/>
                <w:kern w:val="0"/>
                <w:sz w:val="24"/>
                <w:szCs w:val="20"/>
              </w:rPr>
            </w:pPr>
          </w:p>
          <w:p>
            <w:pPr>
              <w:spacing w:line="360" w:lineRule="auto"/>
              <w:ind w:firstLine="482" w:firstLineChars="200"/>
              <w:jc w:val="left"/>
              <w:rPr>
                <w:rFonts w:ascii="宋体" w:hAnsi="宋体" w:eastAsia="宋体" w:cs="宋体"/>
                <w:b/>
                <w:bCs/>
                <w:kern w:val="0"/>
                <w:sz w:val="24"/>
              </w:rPr>
            </w:pPr>
            <w:r>
              <w:rPr>
                <w:rFonts w:hint="eastAsia" w:ascii="宋体" w:hAnsi="宋体" w:eastAsia="宋体" w:cs="宋体"/>
                <w:b/>
                <w:bCs/>
                <w:kern w:val="0"/>
                <w:sz w:val="24"/>
              </w:rPr>
              <w:t>综上所述，本项目符合国家产业政策，选址合理，只要该项目认真贯彻执行好国家现行的各项环境保护法规、法令、标准，严格落实切实有效的污染防治生态保护措施，保证各污染治理设施稳定高效运行，确保各污染物长期稳定达标排放，确保工程对各环境保护目标不造成干扰，则在此基础上该项目建设在环境保护方面是可行的。</w:t>
            </w:r>
          </w:p>
          <w:p>
            <w:pPr>
              <w:spacing w:line="360" w:lineRule="auto"/>
              <w:ind w:firstLine="480" w:firstLineChars="200"/>
              <w:jc w:val="left"/>
              <w:rPr>
                <w:rFonts w:ascii="Times New Roman" w:hAnsi="Times New Roman" w:eastAsia="宋体" w:cs="Times New Roman"/>
                <w:kern w:val="0"/>
                <w:sz w:val="24"/>
                <w:szCs w:val="20"/>
              </w:rPr>
            </w:pPr>
          </w:p>
          <w:p>
            <w:pPr>
              <w:spacing w:line="360" w:lineRule="auto"/>
              <w:ind w:firstLine="480" w:firstLineChars="200"/>
              <w:jc w:val="left"/>
              <w:rPr>
                <w:rFonts w:ascii="Times New Roman" w:hAnsi="Times New Roman" w:eastAsia="宋体" w:cs="Times New Roman"/>
                <w:kern w:val="0"/>
                <w:sz w:val="24"/>
                <w:szCs w:val="20"/>
              </w:rPr>
            </w:pPr>
          </w:p>
          <w:p>
            <w:pPr>
              <w:spacing w:line="360" w:lineRule="auto"/>
              <w:ind w:firstLine="480" w:firstLineChars="200"/>
              <w:jc w:val="left"/>
              <w:rPr>
                <w:rFonts w:ascii="Times New Roman" w:hAnsi="Times New Roman" w:eastAsia="宋体" w:cs="Times New Roman"/>
                <w:kern w:val="0"/>
                <w:sz w:val="24"/>
                <w:szCs w:val="20"/>
              </w:rPr>
            </w:pPr>
          </w:p>
          <w:p>
            <w:pPr>
              <w:spacing w:line="360" w:lineRule="auto"/>
              <w:ind w:firstLine="480" w:firstLineChars="200"/>
              <w:jc w:val="left"/>
              <w:rPr>
                <w:rFonts w:ascii="Times New Roman" w:hAnsi="Times New Roman" w:eastAsia="宋体" w:cs="Times New Roman"/>
                <w:kern w:val="0"/>
                <w:sz w:val="24"/>
                <w:szCs w:val="20"/>
              </w:rPr>
            </w:pPr>
          </w:p>
          <w:p>
            <w:pPr>
              <w:spacing w:line="360" w:lineRule="auto"/>
              <w:ind w:firstLine="480" w:firstLineChars="200"/>
              <w:jc w:val="left"/>
              <w:rPr>
                <w:rFonts w:ascii="Times New Roman" w:hAnsi="Times New Roman" w:eastAsia="宋体" w:cs="Times New Roman"/>
                <w:kern w:val="0"/>
                <w:sz w:val="24"/>
                <w:szCs w:val="20"/>
              </w:rPr>
            </w:pPr>
          </w:p>
          <w:p>
            <w:pPr>
              <w:spacing w:line="360" w:lineRule="auto"/>
              <w:ind w:firstLine="480" w:firstLineChars="200"/>
              <w:jc w:val="left"/>
              <w:rPr>
                <w:rFonts w:ascii="Times New Roman" w:hAnsi="Times New Roman" w:eastAsia="宋体" w:cs="Times New Roman"/>
                <w:kern w:val="0"/>
                <w:sz w:val="24"/>
                <w:szCs w:val="20"/>
              </w:rPr>
            </w:pPr>
          </w:p>
          <w:p>
            <w:pPr>
              <w:spacing w:line="360" w:lineRule="auto"/>
              <w:ind w:firstLine="480" w:firstLineChars="200"/>
              <w:jc w:val="left"/>
              <w:rPr>
                <w:rFonts w:ascii="Times New Roman" w:hAnsi="Times New Roman" w:eastAsia="宋体" w:cs="Times New Roman"/>
                <w:kern w:val="0"/>
                <w:sz w:val="24"/>
                <w:szCs w:val="20"/>
              </w:rPr>
            </w:pPr>
          </w:p>
          <w:p>
            <w:pPr>
              <w:spacing w:line="360" w:lineRule="auto"/>
              <w:ind w:firstLine="480" w:firstLineChars="200"/>
              <w:jc w:val="left"/>
              <w:rPr>
                <w:rFonts w:ascii="Times New Roman" w:hAnsi="Times New Roman" w:eastAsia="宋体" w:cs="Times New Roman"/>
                <w:kern w:val="0"/>
                <w:sz w:val="24"/>
                <w:szCs w:val="20"/>
              </w:rPr>
            </w:pPr>
          </w:p>
          <w:p>
            <w:pPr>
              <w:spacing w:line="360" w:lineRule="auto"/>
              <w:ind w:firstLine="480" w:firstLineChars="200"/>
              <w:jc w:val="left"/>
              <w:rPr>
                <w:rFonts w:ascii="Times New Roman" w:hAnsi="Times New Roman" w:eastAsia="宋体" w:cs="Times New Roman"/>
                <w:kern w:val="0"/>
                <w:sz w:val="24"/>
                <w:szCs w:val="20"/>
              </w:rPr>
            </w:pPr>
          </w:p>
          <w:p>
            <w:pPr>
              <w:spacing w:line="360" w:lineRule="auto"/>
              <w:jc w:val="left"/>
              <w:rPr>
                <w:rFonts w:ascii="Times New Roman" w:hAnsi="Times New Roman" w:eastAsia="宋体" w:cs="Times New Roman"/>
                <w:kern w:val="0"/>
                <w:sz w:val="24"/>
                <w:szCs w:val="20"/>
              </w:rPr>
            </w:pPr>
          </w:p>
          <w:p>
            <w:pPr>
              <w:spacing w:line="360" w:lineRule="auto"/>
              <w:jc w:val="left"/>
              <w:rPr>
                <w:rFonts w:ascii="Times New Roman" w:hAnsi="Times New Roman" w:eastAsia="宋体" w:cs="Times New Roman"/>
                <w:kern w:val="0"/>
                <w:sz w:val="24"/>
              </w:rPr>
            </w:pPr>
          </w:p>
        </w:tc>
      </w:tr>
    </w:tbl>
    <w:p>
      <w:pPr>
        <w:spacing w:line="360" w:lineRule="auto"/>
        <w:jc w:val="left"/>
        <w:rPr>
          <w:rFonts w:ascii="Times New Roman" w:hAnsi="Times New Roman" w:eastAsia="宋体" w:cs="Times New Roman"/>
          <w:sz w:val="30"/>
          <w:szCs w:val="30"/>
        </w:rPr>
        <w:sectPr>
          <w:pgSz w:w="11906" w:h="16838"/>
          <w:pgMar w:top="1440" w:right="1440" w:bottom="1440" w:left="1440" w:header="851" w:footer="851" w:gutter="0"/>
          <w:pgNumType w:fmt="numberInDash"/>
          <w:cols w:space="720" w:num="1"/>
          <w:docGrid w:type="lines" w:linePitch="326" w:charSpace="0"/>
        </w:sectPr>
      </w:pPr>
    </w:p>
    <w:p>
      <w:pPr>
        <w:widowControl/>
        <w:jc w:val="left"/>
        <w:outlineLvl w:val="0"/>
        <w:rPr>
          <w:rFonts w:ascii="黑体" w:hAnsi="黑体" w:eastAsia="黑体" w:cs="Times New Roman"/>
          <w:snapToGrid w:val="0"/>
          <w:kern w:val="0"/>
          <w:sz w:val="32"/>
          <w:szCs w:val="32"/>
        </w:rPr>
      </w:pPr>
      <w:bookmarkStart w:id="63" w:name="_Toc147539451"/>
      <w:bookmarkStart w:id="64" w:name="_Toc95293589"/>
      <w:bookmarkStart w:id="65" w:name="_Toc147996969"/>
      <w:bookmarkStart w:id="66" w:name="_Toc102048893"/>
      <w:bookmarkStart w:id="67" w:name="_Toc141772427"/>
      <w:bookmarkStart w:id="68" w:name="_Toc11606"/>
      <w:bookmarkStart w:id="69" w:name="_Toc98889652"/>
      <w:r>
        <w:rPr>
          <w:rFonts w:hint="eastAsia" w:ascii="黑体" w:hAnsi="黑体" w:eastAsia="黑体" w:cs="Times New Roman"/>
          <w:snapToGrid w:val="0"/>
          <w:kern w:val="0"/>
          <w:sz w:val="32"/>
          <w:szCs w:val="32"/>
        </w:rPr>
        <w:t>附表</w:t>
      </w:r>
      <w:bookmarkEnd w:id="63"/>
      <w:bookmarkEnd w:id="64"/>
      <w:bookmarkEnd w:id="65"/>
      <w:bookmarkEnd w:id="66"/>
      <w:bookmarkEnd w:id="67"/>
      <w:bookmarkEnd w:id="68"/>
      <w:bookmarkEnd w:id="69"/>
    </w:p>
    <w:p>
      <w:pPr>
        <w:widowControl/>
        <w:spacing w:line="360" w:lineRule="auto"/>
        <w:jc w:val="center"/>
        <w:rPr>
          <w:rFonts w:ascii="方正小标宋_GBK" w:hAnsi="黑体" w:eastAsia="方正小标宋_GBK" w:cs="Times New Roman"/>
          <w:snapToGrid w:val="0"/>
          <w:kern w:val="0"/>
          <w:sz w:val="38"/>
          <w:szCs w:val="38"/>
        </w:rPr>
      </w:pPr>
      <w:bookmarkStart w:id="70" w:name="_Toc11708"/>
      <w:bookmarkStart w:id="71" w:name="_Toc102048894"/>
      <w:bookmarkStart w:id="72" w:name="_Toc141772428"/>
      <w:bookmarkStart w:id="73" w:name="_Toc95293590"/>
      <w:bookmarkStart w:id="74" w:name="_Toc98889653"/>
      <w:r>
        <w:rPr>
          <w:rFonts w:hint="eastAsia" w:ascii="方正小标宋_GBK" w:hAnsi="黑体" w:eastAsia="方正小标宋_GBK" w:cs="Times New Roman"/>
          <w:snapToGrid w:val="0"/>
          <w:kern w:val="0"/>
          <w:sz w:val="38"/>
          <w:szCs w:val="38"/>
        </w:rPr>
        <w:t>建设项目污染物排放量汇总表</w:t>
      </w:r>
      <w:bookmarkEnd w:id="70"/>
      <w:bookmarkEnd w:id="71"/>
      <w:bookmarkEnd w:id="72"/>
      <w:bookmarkEnd w:id="73"/>
      <w:bookmarkEnd w:id="74"/>
    </w:p>
    <w:tbl>
      <w:tblPr>
        <w:tblStyle w:val="7"/>
        <w:tblW w:w="1378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500"/>
        <w:gridCol w:w="1616"/>
        <w:gridCol w:w="1276"/>
        <w:gridCol w:w="1701"/>
        <w:gridCol w:w="1559"/>
        <w:gridCol w:w="1761"/>
        <w:gridCol w:w="1502"/>
        <w:gridCol w:w="12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7" w:type="dxa"/>
            <w:tcBorders>
              <w:top w:val="single" w:color="auto" w:sz="8" w:space="0"/>
              <w:left w:val="single" w:color="auto" w:sz="8" w:space="0"/>
              <w:bottom w:val="single" w:color="auto" w:sz="4" w:space="0"/>
              <w:right w:val="single" w:color="auto" w:sz="4" w:space="0"/>
              <w:tl2br w:val="single" w:color="auto" w:sz="4" w:space="0"/>
            </w:tcBorders>
            <w:tcMar>
              <w:top w:w="0" w:type="dxa"/>
              <w:left w:w="28" w:type="dxa"/>
              <w:bottom w:w="0" w:type="dxa"/>
              <w:right w:w="28" w:type="dxa"/>
            </w:tcMar>
            <w:vAlign w:val="center"/>
          </w:tcPr>
          <w:p>
            <w:pPr>
              <w:adjustRightInd w:val="0"/>
              <w:snapToGrid w:val="0"/>
              <w:ind w:left="396" w:hanging="396" w:hangingChars="200"/>
              <w:jc w:val="right"/>
              <w:rPr>
                <w:rFonts w:ascii="Times New Roman" w:hAnsi="Times New Roman" w:eastAsia="宋体" w:cs="宋体"/>
                <w:snapToGrid w:val="0"/>
                <w:spacing w:val="-6"/>
                <w:kern w:val="21"/>
                <w:szCs w:val="21"/>
              </w:rPr>
            </w:pPr>
            <w:r>
              <w:rPr>
                <w:rFonts w:hint="eastAsia" w:ascii="Times New Roman" w:hAnsi="Times New Roman" w:eastAsia="宋体" w:cs="宋体"/>
                <w:snapToGrid w:val="0"/>
                <w:spacing w:val="-6"/>
                <w:kern w:val="21"/>
                <w:szCs w:val="21"/>
              </w:rPr>
              <w:t>项目</w:t>
            </w:r>
          </w:p>
          <w:p>
            <w:pPr>
              <w:adjustRightInd w:val="0"/>
              <w:snapToGrid w:val="0"/>
              <w:ind w:left="396" w:hanging="396" w:hangingChars="200"/>
              <w:jc w:val="left"/>
              <w:rPr>
                <w:rFonts w:ascii="Times New Roman" w:hAnsi="Times New Roman" w:eastAsia="宋体" w:cs="宋体"/>
                <w:snapToGrid w:val="0"/>
                <w:spacing w:val="-6"/>
                <w:kern w:val="21"/>
                <w:szCs w:val="21"/>
              </w:rPr>
            </w:pPr>
            <w:r>
              <w:rPr>
                <w:rFonts w:hint="eastAsia" w:ascii="Times New Roman" w:hAnsi="Times New Roman" w:eastAsia="宋体" w:cs="宋体"/>
                <w:snapToGrid w:val="0"/>
                <w:spacing w:val="-6"/>
                <w:kern w:val="21"/>
                <w:szCs w:val="21"/>
              </w:rPr>
              <w:t>分类</w:t>
            </w:r>
          </w:p>
        </w:tc>
        <w:tc>
          <w:tcPr>
            <w:tcW w:w="1500"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ind w:left="396" w:hanging="396" w:hangingChars="200"/>
              <w:jc w:val="center"/>
              <w:rPr>
                <w:rFonts w:ascii="Times New Roman" w:hAnsi="Times New Roman" w:eastAsia="宋体" w:cs="宋体"/>
                <w:snapToGrid w:val="0"/>
                <w:spacing w:val="-6"/>
                <w:kern w:val="21"/>
                <w:szCs w:val="21"/>
              </w:rPr>
            </w:pPr>
            <w:r>
              <w:rPr>
                <w:rFonts w:hint="eastAsia" w:ascii="Times New Roman" w:hAnsi="Times New Roman" w:eastAsia="宋体" w:cs="宋体"/>
                <w:snapToGrid w:val="0"/>
                <w:spacing w:val="-6"/>
                <w:kern w:val="21"/>
                <w:szCs w:val="21"/>
              </w:rPr>
              <w:t>污染物名称</w:t>
            </w:r>
          </w:p>
        </w:tc>
        <w:tc>
          <w:tcPr>
            <w:tcW w:w="161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ind w:left="396" w:hanging="396" w:hangingChars="200"/>
              <w:jc w:val="center"/>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现有工程</w:t>
            </w:r>
          </w:p>
          <w:p>
            <w:pPr>
              <w:adjustRightInd w:val="0"/>
              <w:snapToGrid w:val="0"/>
              <w:ind w:left="396" w:hanging="396" w:hangingChars="200"/>
              <w:jc w:val="center"/>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排放量（固体废物产生量）</w:t>
            </w: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1 \* GB3 \* MERGEFORMAT </w:instrText>
            </w:r>
            <w:r>
              <w:rPr>
                <w:rFonts w:ascii="Times New Roman" w:hAnsi="Times New Roman" w:eastAsia="宋体" w:cs="Times New Roman"/>
                <w:snapToGrid w:val="0"/>
                <w:spacing w:val="-6"/>
                <w:kern w:val="21"/>
                <w:szCs w:val="21"/>
              </w:rPr>
              <w:fldChar w:fldCharType="separate"/>
            </w:r>
            <w:r>
              <w:rPr>
                <w:rFonts w:hint="eastAsia" w:ascii="Times New Roman" w:hAnsi="Times New Roman" w:eastAsia="宋体" w:cs="宋体"/>
                <w:szCs w:val="21"/>
              </w:rPr>
              <w:t>①</w:t>
            </w:r>
            <w:r>
              <w:rPr>
                <w:rFonts w:ascii="Times New Roman" w:hAnsi="Times New Roman" w:eastAsia="宋体" w:cs="Times New Roman"/>
                <w:snapToGrid w:val="0"/>
                <w:spacing w:val="-6"/>
                <w:kern w:val="21"/>
                <w:szCs w:val="21"/>
              </w:rPr>
              <w:fldChar w:fldCharType="end"/>
            </w:r>
          </w:p>
        </w:tc>
        <w:tc>
          <w:tcPr>
            <w:tcW w:w="127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ind w:left="396" w:hanging="396" w:hangingChars="200"/>
              <w:jc w:val="center"/>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现有工程</w:t>
            </w:r>
          </w:p>
          <w:p>
            <w:pPr>
              <w:adjustRightInd w:val="0"/>
              <w:snapToGrid w:val="0"/>
              <w:ind w:left="396" w:hanging="396" w:hangingChars="200"/>
              <w:jc w:val="center"/>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许可排放量</w:t>
            </w:r>
          </w:p>
          <w:p>
            <w:pPr>
              <w:adjustRightInd w:val="0"/>
              <w:snapToGrid w:val="0"/>
              <w:ind w:left="420" w:hanging="396" w:hangingChars="200"/>
              <w:jc w:val="center"/>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2 \* GB3 \* MERGEFORMAT </w:instrText>
            </w:r>
            <w:r>
              <w:rPr>
                <w:rFonts w:ascii="Times New Roman" w:hAnsi="Times New Roman" w:eastAsia="宋体" w:cs="Times New Roman"/>
                <w:snapToGrid w:val="0"/>
                <w:spacing w:val="-6"/>
                <w:kern w:val="21"/>
                <w:szCs w:val="21"/>
              </w:rPr>
              <w:fldChar w:fldCharType="separate"/>
            </w:r>
            <w:r>
              <w:rPr>
                <w:rFonts w:hint="eastAsia" w:ascii="Times New Roman" w:hAnsi="Times New Roman" w:eastAsia="宋体" w:cs="宋体"/>
                <w:snapToGrid w:val="0"/>
                <w:spacing w:val="-6"/>
                <w:kern w:val="21"/>
                <w:szCs w:val="21"/>
              </w:rPr>
              <w:t>②</w:t>
            </w:r>
            <w:r>
              <w:rPr>
                <w:rFonts w:ascii="Times New Roman" w:hAnsi="Times New Roman" w:eastAsia="宋体" w:cs="Times New Roman"/>
                <w:snapToGrid w:val="0"/>
                <w:spacing w:val="-6"/>
                <w:kern w:val="21"/>
                <w:szCs w:val="21"/>
              </w:rPr>
              <w:fldChar w:fldCharType="end"/>
            </w:r>
          </w:p>
        </w:tc>
        <w:tc>
          <w:tcPr>
            <w:tcW w:w="170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ind w:left="396" w:hanging="396" w:hangingChars="200"/>
              <w:jc w:val="center"/>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在建工程</w:t>
            </w:r>
          </w:p>
          <w:p>
            <w:pPr>
              <w:adjustRightInd w:val="0"/>
              <w:snapToGrid w:val="0"/>
              <w:ind w:left="396" w:hanging="396" w:hangingChars="200"/>
              <w:jc w:val="center"/>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排放量（固体废物产生量）</w:t>
            </w: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3 \* GB3 \* MERGEFORMAT </w:instrText>
            </w:r>
            <w:r>
              <w:rPr>
                <w:rFonts w:ascii="Times New Roman" w:hAnsi="Times New Roman" w:eastAsia="宋体" w:cs="Times New Roman"/>
                <w:snapToGrid w:val="0"/>
                <w:spacing w:val="-6"/>
                <w:kern w:val="21"/>
                <w:szCs w:val="21"/>
              </w:rPr>
              <w:fldChar w:fldCharType="separate"/>
            </w:r>
            <w:r>
              <w:rPr>
                <w:rFonts w:hint="eastAsia" w:ascii="Times New Roman" w:hAnsi="Times New Roman" w:eastAsia="宋体" w:cs="宋体"/>
                <w:szCs w:val="21"/>
              </w:rPr>
              <w:t>③</w:t>
            </w:r>
            <w:r>
              <w:rPr>
                <w:rFonts w:ascii="Times New Roman" w:hAnsi="Times New Roman" w:eastAsia="宋体" w:cs="Times New Roman"/>
                <w:snapToGrid w:val="0"/>
                <w:spacing w:val="-6"/>
                <w:kern w:val="21"/>
                <w:szCs w:val="21"/>
              </w:rPr>
              <w:fldChar w:fldCharType="end"/>
            </w:r>
          </w:p>
        </w:tc>
        <w:tc>
          <w:tcPr>
            <w:tcW w:w="155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ind w:left="396" w:hanging="396" w:hangingChars="200"/>
              <w:jc w:val="center"/>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本项目</w:t>
            </w:r>
          </w:p>
          <w:p>
            <w:pPr>
              <w:adjustRightInd w:val="0"/>
              <w:snapToGrid w:val="0"/>
              <w:ind w:left="396" w:hanging="396" w:hangingChars="200"/>
              <w:jc w:val="center"/>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排放量（固体废物产生量）</w:t>
            </w: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4 \* GB3 \* MERGEFORMAT </w:instrText>
            </w:r>
            <w:r>
              <w:rPr>
                <w:rFonts w:ascii="Times New Roman" w:hAnsi="Times New Roman" w:eastAsia="宋体" w:cs="Times New Roman"/>
                <w:snapToGrid w:val="0"/>
                <w:spacing w:val="-6"/>
                <w:kern w:val="21"/>
                <w:szCs w:val="21"/>
              </w:rPr>
              <w:fldChar w:fldCharType="separate"/>
            </w:r>
            <w:r>
              <w:rPr>
                <w:rFonts w:hint="eastAsia" w:ascii="Times New Roman" w:hAnsi="Times New Roman" w:eastAsia="宋体" w:cs="宋体"/>
                <w:szCs w:val="21"/>
              </w:rPr>
              <w:t>④</w:t>
            </w:r>
            <w:r>
              <w:rPr>
                <w:rFonts w:ascii="Times New Roman" w:hAnsi="Times New Roman" w:eastAsia="宋体" w:cs="Times New Roman"/>
                <w:snapToGrid w:val="0"/>
                <w:spacing w:val="-6"/>
                <w:kern w:val="21"/>
                <w:szCs w:val="21"/>
              </w:rPr>
              <w:fldChar w:fldCharType="end"/>
            </w:r>
          </w:p>
        </w:tc>
        <w:tc>
          <w:tcPr>
            <w:tcW w:w="176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ind w:left="356" w:hanging="356" w:hangingChars="200"/>
              <w:jc w:val="center"/>
              <w:rPr>
                <w:rFonts w:ascii="Times New Roman" w:hAnsi="Times New Roman" w:eastAsia="宋体" w:cs="Times New Roman"/>
                <w:snapToGrid w:val="0"/>
                <w:spacing w:val="-16"/>
                <w:kern w:val="21"/>
                <w:szCs w:val="21"/>
              </w:rPr>
            </w:pPr>
            <w:r>
              <w:rPr>
                <w:rFonts w:hint="eastAsia" w:ascii="Times New Roman" w:hAnsi="Times New Roman" w:eastAsia="宋体" w:cs="Times New Roman"/>
                <w:snapToGrid w:val="0"/>
                <w:spacing w:val="-16"/>
                <w:kern w:val="21"/>
                <w:szCs w:val="21"/>
              </w:rPr>
              <w:t>以新带老削减量</w:t>
            </w:r>
          </w:p>
          <w:p>
            <w:pPr>
              <w:adjustRightInd w:val="0"/>
              <w:snapToGrid w:val="0"/>
              <w:ind w:left="356" w:hanging="356" w:hangingChars="200"/>
              <w:jc w:val="center"/>
              <w:rPr>
                <w:rFonts w:ascii="Times New Roman" w:hAnsi="Times New Roman" w:eastAsia="宋体" w:cs="Times New Roman"/>
                <w:snapToGrid w:val="0"/>
                <w:spacing w:val="-16"/>
                <w:kern w:val="21"/>
                <w:szCs w:val="21"/>
              </w:rPr>
            </w:pPr>
            <w:r>
              <w:rPr>
                <w:rFonts w:hint="eastAsia" w:ascii="Times New Roman" w:hAnsi="Times New Roman" w:eastAsia="宋体" w:cs="Times New Roman"/>
                <w:snapToGrid w:val="0"/>
                <w:spacing w:val="-16"/>
                <w:kern w:val="21"/>
                <w:szCs w:val="21"/>
              </w:rPr>
              <w:t>（新建项目不填）</w:t>
            </w:r>
            <w:r>
              <w:rPr>
                <w:rFonts w:ascii="Times New Roman" w:hAnsi="Times New Roman" w:eastAsia="宋体" w:cs="Times New Roman"/>
                <w:snapToGrid w:val="0"/>
                <w:spacing w:val="-16"/>
                <w:kern w:val="21"/>
                <w:szCs w:val="21"/>
              </w:rPr>
              <w:fldChar w:fldCharType="begin"/>
            </w:r>
            <w:r>
              <w:rPr>
                <w:rFonts w:ascii="Times New Roman" w:hAnsi="Times New Roman" w:eastAsia="宋体" w:cs="Times New Roman"/>
                <w:snapToGrid w:val="0"/>
                <w:spacing w:val="-16"/>
                <w:kern w:val="21"/>
                <w:szCs w:val="21"/>
              </w:rPr>
              <w:instrText xml:space="preserve"> = 5 \* GB3 \* MERGEFORMAT </w:instrText>
            </w:r>
            <w:r>
              <w:rPr>
                <w:rFonts w:ascii="Times New Roman" w:hAnsi="Times New Roman" w:eastAsia="宋体" w:cs="Times New Roman"/>
                <w:snapToGrid w:val="0"/>
                <w:spacing w:val="-16"/>
                <w:kern w:val="21"/>
                <w:szCs w:val="21"/>
              </w:rPr>
              <w:fldChar w:fldCharType="separate"/>
            </w:r>
            <w:r>
              <w:rPr>
                <w:rFonts w:hint="eastAsia" w:ascii="Times New Roman" w:hAnsi="Times New Roman" w:eastAsia="宋体" w:cs="宋体"/>
                <w:szCs w:val="21"/>
              </w:rPr>
              <w:t>⑤</w:t>
            </w:r>
            <w:r>
              <w:rPr>
                <w:rFonts w:ascii="Times New Roman" w:hAnsi="Times New Roman" w:eastAsia="宋体" w:cs="Times New Roman"/>
                <w:snapToGrid w:val="0"/>
                <w:spacing w:val="-16"/>
                <w:kern w:val="21"/>
                <w:szCs w:val="21"/>
              </w:rPr>
              <w:fldChar w:fldCharType="end"/>
            </w:r>
          </w:p>
        </w:tc>
        <w:tc>
          <w:tcPr>
            <w:tcW w:w="1502"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ind w:left="356" w:hanging="356" w:hangingChars="200"/>
              <w:jc w:val="center"/>
              <w:rPr>
                <w:rFonts w:ascii="Times New Roman" w:hAnsi="Times New Roman" w:eastAsia="宋体" w:cs="Times New Roman"/>
                <w:snapToGrid w:val="0"/>
                <w:spacing w:val="-16"/>
                <w:kern w:val="21"/>
                <w:szCs w:val="21"/>
              </w:rPr>
            </w:pPr>
            <w:r>
              <w:rPr>
                <w:rFonts w:hint="eastAsia" w:ascii="Times New Roman" w:hAnsi="Times New Roman" w:eastAsia="宋体" w:cs="Times New Roman"/>
                <w:snapToGrid w:val="0"/>
                <w:spacing w:val="-16"/>
                <w:kern w:val="21"/>
                <w:szCs w:val="21"/>
              </w:rPr>
              <w:t>本项目建成后</w:t>
            </w:r>
          </w:p>
          <w:p>
            <w:pPr>
              <w:adjustRightInd w:val="0"/>
              <w:snapToGrid w:val="0"/>
              <w:ind w:left="356" w:hanging="356" w:hangingChars="200"/>
              <w:jc w:val="center"/>
              <w:rPr>
                <w:rFonts w:ascii="Times New Roman" w:hAnsi="Times New Roman" w:eastAsia="宋体" w:cs="Times New Roman"/>
                <w:snapToGrid w:val="0"/>
                <w:spacing w:val="-16"/>
                <w:kern w:val="21"/>
                <w:szCs w:val="21"/>
              </w:rPr>
            </w:pPr>
            <w:r>
              <w:rPr>
                <w:rFonts w:hint="eastAsia" w:ascii="Times New Roman" w:hAnsi="Times New Roman" w:eastAsia="宋体" w:cs="Times New Roman"/>
                <w:snapToGrid w:val="0"/>
                <w:spacing w:val="-16"/>
                <w:kern w:val="21"/>
                <w:szCs w:val="21"/>
              </w:rPr>
              <w:t>全厂排放量（固体废物产生量）</w:t>
            </w:r>
            <w:r>
              <w:rPr>
                <w:rFonts w:ascii="Times New Roman" w:hAnsi="Times New Roman" w:eastAsia="宋体" w:cs="Times New Roman"/>
                <w:snapToGrid w:val="0"/>
                <w:spacing w:val="-16"/>
                <w:kern w:val="21"/>
                <w:szCs w:val="21"/>
              </w:rPr>
              <w:fldChar w:fldCharType="begin"/>
            </w:r>
            <w:r>
              <w:rPr>
                <w:rFonts w:ascii="Times New Roman" w:hAnsi="Times New Roman" w:eastAsia="宋体" w:cs="Times New Roman"/>
                <w:snapToGrid w:val="0"/>
                <w:spacing w:val="-16"/>
                <w:kern w:val="21"/>
                <w:szCs w:val="21"/>
              </w:rPr>
              <w:instrText xml:space="preserve"> = 6 \* GB3 \* MERGEFORMAT </w:instrText>
            </w:r>
            <w:r>
              <w:rPr>
                <w:rFonts w:ascii="Times New Roman" w:hAnsi="Times New Roman" w:eastAsia="宋体" w:cs="Times New Roman"/>
                <w:snapToGrid w:val="0"/>
                <w:spacing w:val="-16"/>
                <w:kern w:val="21"/>
                <w:szCs w:val="21"/>
              </w:rPr>
              <w:fldChar w:fldCharType="separate"/>
            </w:r>
            <w:r>
              <w:rPr>
                <w:rFonts w:hint="eastAsia" w:ascii="Times New Roman" w:hAnsi="Times New Roman" w:eastAsia="宋体" w:cs="宋体"/>
                <w:szCs w:val="21"/>
              </w:rPr>
              <w:t>⑥</w:t>
            </w:r>
            <w:r>
              <w:rPr>
                <w:rFonts w:ascii="Times New Roman" w:hAnsi="Times New Roman" w:eastAsia="宋体" w:cs="Times New Roman"/>
                <w:snapToGrid w:val="0"/>
                <w:spacing w:val="-16"/>
                <w:kern w:val="21"/>
                <w:szCs w:val="21"/>
              </w:rPr>
              <w:fldChar w:fldCharType="end"/>
            </w:r>
          </w:p>
        </w:tc>
        <w:tc>
          <w:tcPr>
            <w:tcW w:w="1283"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pPr>
              <w:adjustRightInd w:val="0"/>
              <w:snapToGrid w:val="0"/>
              <w:ind w:left="396" w:hanging="396" w:hangingChars="200"/>
              <w:jc w:val="center"/>
              <w:rPr>
                <w:rFonts w:ascii="Times New Roman" w:hAnsi="Times New Roman" w:eastAsia="宋体" w:cs="Times New Roman"/>
                <w:snapToGrid w:val="0"/>
                <w:spacing w:val="-6"/>
                <w:kern w:val="21"/>
                <w:szCs w:val="21"/>
              </w:rPr>
            </w:pPr>
            <w:r>
              <w:rPr>
                <w:rFonts w:hint="eastAsia" w:ascii="Times New Roman" w:hAnsi="Times New Roman" w:eastAsia="宋体" w:cs="Times New Roman"/>
                <w:snapToGrid w:val="0"/>
                <w:spacing w:val="-6"/>
                <w:kern w:val="21"/>
                <w:szCs w:val="21"/>
              </w:rPr>
              <w:t>变化量</w:t>
            </w:r>
          </w:p>
          <w:p>
            <w:pPr>
              <w:adjustRightInd w:val="0"/>
              <w:snapToGrid w:val="0"/>
              <w:ind w:left="420" w:hanging="396" w:hangingChars="200"/>
              <w:jc w:val="center"/>
              <w:rPr>
                <w:rFonts w:ascii="Times New Roman" w:hAnsi="Times New Roman" w:eastAsia="宋体" w:cs="Times New Roman"/>
                <w:snapToGrid w:val="0"/>
                <w:spacing w:val="-6"/>
                <w:kern w:val="21"/>
                <w:szCs w:val="21"/>
              </w:rPr>
            </w:pPr>
            <w:r>
              <w:rPr>
                <w:rFonts w:ascii="Times New Roman" w:hAnsi="Times New Roman" w:eastAsia="宋体" w:cs="Times New Roman"/>
                <w:snapToGrid w:val="0"/>
                <w:spacing w:val="-6"/>
                <w:kern w:val="21"/>
                <w:szCs w:val="21"/>
              </w:rPr>
              <w:fldChar w:fldCharType="begin"/>
            </w:r>
            <w:r>
              <w:rPr>
                <w:rFonts w:ascii="Times New Roman" w:hAnsi="Times New Roman" w:eastAsia="宋体" w:cs="Times New Roman"/>
                <w:snapToGrid w:val="0"/>
                <w:spacing w:val="-6"/>
                <w:kern w:val="21"/>
                <w:szCs w:val="21"/>
              </w:rPr>
              <w:instrText xml:space="preserve"> = 7 \* GB3 \* MERGEFORMAT </w:instrText>
            </w:r>
            <w:r>
              <w:rPr>
                <w:rFonts w:ascii="Times New Roman" w:hAnsi="Times New Roman" w:eastAsia="宋体" w:cs="Times New Roman"/>
                <w:snapToGrid w:val="0"/>
                <w:spacing w:val="-6"/>
                <w:kern w:val="21"/>
                <w:szCs w:val="21"/>
              </w:rPr>
              <w:fldChar w:fldCharType="separate"/>
            </w:r>
            <w:r>
              <w:rPr>
                <w:rFonts w:hint="eastAsia" w:ascii="Times New Roman" w:hAnsi="Times New Roman" w:eastAsia="宋体" w:cs="宋体"/>
                <w:szCs w:val="21"/>
              </w:rPr>
              <w:t>⑦</w:t>
            </w:r>
            <w:r>
              <w:rPr>
                <w:rFonts w:ascii="Times New Roman" w:hAnsi="Times New Roman" w:eastAsia="宋体" w:cs="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7" w:type="dxa"/>
            <w:tcBorders>
              <w:top w:val="single" w:color="auto" w:sz="4" w:space="0"/>
              <w:left w:val="single" w:color="auto" w:sz="8"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废气</w:t>
            </w:r>
          </w:p>
        </w:tc>
        <w:tc>
          <w:tcPr>
            <w:tcW w:w="1500"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ascii="Times New Roman" w:hAnsi="Times New Roman" w:eastAsia="宋体" w:cs="宋体"/>
                <w:snapToGrid w:val="0"/>
                <w:kern w:val="21"/>
                <w:szCs w:val="21"/>
              </w:rPr>
              <w:t>/</w:t>
            </w:r>
          </w:p>
        </w:tc>
        <w:tc>
          <w:tcPr>
            <w:tcW w:w="161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ascii="Times New Roman" w:hAnsi="Times New Roman" w:eastAsia="宋体" w:cs="宋体"/>
                <w:snapToGrid w:val="0"/>
                <w:kern w:val="21"/>
                <w:szCs w:val="21"/>
              </w:rPr>
              <w:t>/</w:t>
            </w:r>
          </w:p>
        </w:tc>
        <w:tc>
          <w:tcPr>
            <w:tcW w:w="1761"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502"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ascii="Times New Roman" w:hAnsi="Times New Roman" w:eastAsia="宋体" w:cs="宋体"/>
                <w:snapToGrid w:val="0"/>
                <w:kern w:val="21"/>
                <w:szCs w:val="21"/>
              </w:rPr>
              <w:t>/</w:t>
            </w:r>
          </w:p>
        </w:tc>
        <w:tc>
          <w:tcPr>
            <w:tcW w:w="1283"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420" w:hanging="420" w:hangingChars="200"/>
              <w:jc w:val="center"/>
              <w:rPr>
                <w:rFonts w:ascii="Times New Roman" w:hAnsi="Times New Roman" w:eastAsia="宋体" w:cs="宋体"/>
                <w:snapToGrid w:val="0"/>
                <w:color w:val="FF0000"/>
                <w:kern w:val="21"/>
                <w:szCs w:val="21"/>
              </w:rPr>
            </w:pPr>
            <w:r>
              <w:rPr>
                <w:rFonts w:ascii="Times New Roman" w:hAnsi="Times New Roman" w:eastAsia="宋体" w:cs="宋体"/>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7"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废水</w:t>
            </w:r>
          </w:p>
        </w:tc>
        <w:tc>
          <w:tcPr>
            <w:tcW w:w="1500"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废水量</w:t>
            </w:r>
          </w:p>
        </w:tc>
        <w:tc>
          <w:tcPr>
            <w:tcW w:w="161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ascii="Times New Roman" w:hAnsi="Times New Roman" w:eastAsia="宋体" w:cs="宋体"/>
                <w:snapToGrid w:val="0"/>
                <w:kern w:val="21"/>
                <w:szCs w:val="21"/>
              </w:rPr>
              <w:t>/</w:t>
            </w:r>
          </w:p>
        </w:tc>
        <w:tc>
          <w:tcPr>
            <w:tcW w:w="1761"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502"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ascii="Times New Roman" w:hAnsi="Times New Roman" w:eastAsia="宋体" w:cs="宋体"/>
                <w:snapToGrid w:val="0"/>
                <w:kern w:val="21"/>
                <w:szCs w:val="21"/>
              </w:rPr>
              <w:t>/</w:t>
            </w:r>
          </w:p>
        </w:tc>
        <w:tc>
          <w:tcPr>
            <w:tcW w:w="1283"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420" w:hanging="420" w:hangingChars="200"/>
              <w:jc w:val="center"/>
              <w:rPr>
                <w:rFonts w:ascii="Times New Roman" w:hAnsi="Times New Roman" w:eastAsia="宋体" w:cs="宋体"/>
                <w:snapToGrid w:val="0"/>
                <w:color w:val="FF0000"/>
                <w:kern w:val="21"/>
                <w:szCs w:val="21"/>
              </w:rPr>
            </w:pPr>
            <w:r>
              <w:rPr>
                <w:rFonts w:ascii="Times New Roman" w:hAnsi="Times New Roman" w:eastAsia="宋体" w:cs="宋体"/>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宋体"/>
                <w:snapToGrid w:val="0"/>
                <w:kern w:val="21"/>
                <w:szCs w:val="21"/>
              </w:rPr>
            </w:pPr>
          </w:p>
        </w:tc>
        <w:tc>
          <w:tcPr>
            <w:tcW w:w="1500"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ascii="Times New Roman" w:hAnsi="Times New Roman" w:eastAsia="宋体" w:cs="宋体"/>
                <w:snapToGrid w:val="0"/>
                <w:kern w:val="21"/>
                <w:szCs w:val="21"/>
              </w:rPr>
              <w:t>COD</w:t>
            </w:r>
            <w:r>
              <w:rPr>
                <w:rFonts w:ascii="Times New Roman" w:hAnsi="Times New Roman" w:eastAsia="宋体" w:cs="宋体"/>
                <w:snapToGrid w:val="0"/>
                <w:kern w:val="21"/>
                <w:szCs w:val="21"/>
                <w:vertAlign w:val="subscript"/>
              </w:rPr>
              <w:t>cr</w:t>
            </w:r>
          </w:p>
        </w:tc>
        <w:tc>
          <w:tcPr>
            <w:tcW w:w="161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ascii="Times New Roman" w:hAnsi="Times New Roman" w:eastAsia="宋体" w:cs="宋体"/>
                <w:snapToGrid w:val="0"/>
                <w:kern w:val="21"/>
                <w:szCs w:val="21"/>
              </w:rPr>
              <w:t>/</w:t>
            </w:r>
          </w:p>
        </w:tc>
        <w:tc>
          <w:tcPr>
            <w:tcW w:w="1761"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502"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ascii="Times New Roman" w:hAnsi="Times New Roman" w:eastAsia="宋体" w:cs="宋体"/>
                <w:snapToGrid w:val="0"/>
                <w:kern w:val="21"/>
                <w:szCs w:val="21"/>
              </w:rPr>
              <w:t>/</w:t>
            </w:r>
          </w:p>
        </w:tc>
        <w:tc>
          <w:tcPr>
            <w:tcW w:w="1283"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420" w:hanging="420" w:hangingChars="200"/>
              <w:jc w:val="center"/>
              <w:rPr>
                <w:rFonts w:ascii="Times New Roman" w:hAnsi="Times New Roman" w:eastAsia="宋体" w:cs="宋体"/>
                <w:snapToGrid w:val="0"/>
                <w:color w:val="FF0000"/>
                <w:kern w:val="21"/>
                <w:szCs w:val="21"/>
              </w:rPr>
            </w:pPr>
            <w:r>
              <w:rPr>
                <w:rFonts w:ascii="Times New Roman" w:hAnsi="Times New Roman" w:eastAsia="宋体" w:cs="宋体"/>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宋体"/>
                <w:snapToGrid w:val="0"/>
                <w:kern w:val="21"/>
                <w:szCs w:val="21"/>
              </w:rPr>
            </w:pPr>
          </w:p>
        </w:tc>
        <w:tc>
          <w:tcPr>
            <w:tcW w:w="1500"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氨氮</w:t>
            </w:r>
          </w:p>
        </w:tc>
        <w:tc>
          <w:tcPr>
            <w:tcW w:w="161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ascii="Times New Roman" w:hAnsi="Times New Roman" w:eastAsia="宋体" w:cs="宋体"/>
                <w:snapToGrid w:val="0"/>
                <w:kern w:val="21"/>
                <w:szCs w:val="21"/>
              </w:rPr>
              <w:t>/</w:t>
            </w:r>
          </w:p>
        </w:tc>
        <w:tc>
          <w:tcPr>
            <w:tcW w:w="1761"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502"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ascii="Times New Roman" w:hAnsi="Times New Roman" w:eastAsia="宋体" w:cs="宋体"/>
                <w:snapToGrid w:val="0"/>
                <w:kern w:val="21"/>
                <w:szCs w:val="21"/>
              </w:rPr>
              <w:t>/</w:t>
            </w:r>
          </w:p>
        </w:tc>
        <w:tc>
          <w:tcPr>
            <w:tcW w:w="1283"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420" w:hanging="420" w:hangingChars="200"/>
              <w:jc w:val="center"/>
              <w:rPr>
                <w:rFonts w:ascii="Times New Roman" w:hAnsi="Times New Roman" w:eastAsia="宋体" w:cs="宋体"/>
                <w:snapToGrid w:val="0"/>
                <w:color w:val="FF0000"/>
                <w:kern w:val="21"/>
                <w:szCs w:val="21"/>
              </w:rPr>
            </w:pPr>
            <w:r>
              <w:rPr>
                <w:rFonts w:ascii="Times New Roman" w:hAnsi="Times New Roman" w:eastAsia="宋体" w:cs="宋体"/>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7" w:type="dxa"/>
            <w:tcBorders>
              <w:top w:val="single" w:color="auto" w:sz="4" w:space="0"/>
              <w:left w:val="single" w:color="auto" w:sz="8"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生活垃圾</w:t>
            </w:r>
          </w:p>
        </w:tc>
        <w:tc>
          <w:tcPr>
            <w:tcW w:w="1500"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生活垃圾</w:t>
            </w:r>
          </w:p>
        </w:tc>
        <w:tc>
          <w:tcPr>
            <w:tcW w:w="161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ascii="Times New Roman" w:hAnsi="Times New Roman" w:eastAsia="宋体" w:cs="宋体"/>
                <w:snapToGrid w:val="0"/>
                <w:kern w:val="21"/>
                <w:szCs w:val="21"/>
              </w:rPr>
              <w:t>1.5t/a</w:t>
            </w:r>
          </w:p>
        </w:tc>
        <w:tc>
          <w:tcPr>
            <w:tcW w:w="1761"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502"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ascii="Times New Roman" w:hAnsi="Times New Roman" w:eastAsia="宋体" w:cs="宋体"/>
                <w:snapToGrid w:val="0"/>
                <w:kern w:val="21"/>
                <w:szCs w:val="21"/>
              </w:rPr>
              <w:t>1.5t/a</w:t>
            </w:r>
          </w:p>
        </w:tc>
        <w:tc>
          <w:tcPr>
            <w:tcW w:w="1283"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r>
              <w:rPr>
                <w:rFonts w:ascii="Times New Roman" w:hAnsi="Times New Roman" w:eastAsia="宋体" w:cs="宋体"/>
                <w:snapToGrid w:val="0"/>
                <w:kern w:val="21"/>
                <w:szCs w:val="21"/>
              </w:rPr>
              <w:t>1.5t/a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7" w:type="dxa"/>
            <w:tcBorders>
              <w:top w:val="single" w:color="auto" w:sz="4" w:space="0"/>
              <w:left w:val="single" w:color="auto" w:sz="8"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一般工业</w:t>
            </w:r>
          </w:p>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固体废物</w:t>
            </w:r>
          </w:p>
        </w:tc>
        <w:tc>
          <w:tcPr>
            <w:tcW w:w="150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snapToGrid w:val="0"/>
                <w:kern w:val="21"/>
                <w:szCs w:val="21"/>
              </w:rPr>
            </w:pPr>
            <w:r>
              <w:rPr>
                <w:rFonts w:hint="eastAsia" w:ascii="Times New Roman" w:hAnsi="Times New Roman" w:eastAsia="宋体" w:cs="Times New Roman"/>
                <w:szCs w:val="21"/>
              </w:rPr>
              <w:t>沉淀池煤泥</w:t>
            </w:r>
          </w:p>
        </w:tc>
        <w:tc>
          <w:tcPr>
            <w:tcW w:w="161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ascii="Times New Roman" w:hAnsi="Times New Roman" w:eastAsia="宋体" w:cs="宋体"/>
                <w:snapToGrid w:val="0"/>
                <w:kern w:val="21"/>
                <w:szCs w:val="21"/>
              </w:rPr>
              <w:t>1.5</w:t>
            </w:r>
            <w:r>
              <w:rPr>
                <w:rFonts w:hint="eastAsia" w:ascii="Times New Roman" w:hAnsi="Times New Roman" w:eastAsia="宋体" w:cs="宋体"/>
                <w:snapToGrid w:val="0"/>
                <w:kern w:val="21"/>
                <w:szCs w:val="21"/>
              </w:rPr>
              <w:t>t</w:t>
            </w:r>
            <w:r>
              <w:rPr>
                <w:rFonts w:ascii="Times New Roman" w:hAnsi="Times New Roman" w:eastAsia="宋体" w:cs="宋体"/>
                <w:snapToGrid w:val="0"/>
                <w:kern w:val="21"/>
                <w:szCs w:val="21"/>
              </w:rPr>
              <w:t>/a</w:t>
            </w:r>
          </w:p>
        </w:tc>
        <w:tc>
          <w:tcPr>
            <w:tcW w:w="1761"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502"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ascii="Times New Roman" w:hAnsi="Times New Roman" w:eastAsia="宋体" w:cs="宋体"/>
                <w:snapToGrid w:val="0"/>
                <w:kern w:val="21"/>
                <w:szCs w:val="21"/>
              </w:rPr>
              <w:t>1.5</w:t>
            </w:r>
            <w:r>
              <w:rPr>
                <w:rFonts w:hint="eastAsia" w:ascii="Times New Roman" w:hAnsi="Times New Roman" w:eastAsia="宋体" w:cs="宋体"/>
                <w:snapToGrid w:val="0"/>
                <w:kern w:val="21"/>
                <w:szCs w:val="21"/>
              </w:rPr>
              <w:t>t</w:t>
            </w:r>
            <w:r>
              <w:rPr>
                <w:rFonts w:ascii="Times New Roman" w:hAnsi="Times New Roman" w:eastAsia="宋体" w:cs="宋体"/>
                <w:snapToGrid w:val="0"/>
                <w:kern w:val="21"/>
                <w:szCs w:val="21"/>
              </w:rPr>
              <w:t>/a</w:t>
            </w:r>
          </w:p>
        </w:tc>
        <w:tc>
          <w:tcPr>
            <w:tcW w:w="1283"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ascii="Times New Roman" w:hAnsi="Times New Roman" w:eastAsia="宋体" w:cs="宋体"/>
                <w:snapToGrid w:val="0"/>
                <w:kern w:val="21"/>
                <w:szCs w:val="21"/>
              </w:rPr>
            </w:pPr>
            <w:r>
              <w:rPr>
                <w:rFonts w:ascii="Times New Roman" w:hAnsi="Times New Roman" w:eastAsia="宋体" w:cs="宋体"/>
                <w:snapToGrid w:val="0"/>
                <w:kern w:val="21"/>
                <w:szCs w:val="21"/>
              </w:rPr>
              <w:t>+1.5t/a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7" w:type="dxa"/>
            <w:tcBorders>
              <w:top w:val="single" w:color="auto" w:sz="4" w:space="0"/>
              <w:left w:val="single" w:color="auto" w:sz="8"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危险废物</w:t>
            </w:r>
          </w:p>
        </w:tc>
        <w:tc>
          <w:tcPr>
            <w:tcW w:w="1500"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Times New Roman"/>
                <w:szCs w:val="21"/>
              </w:rPr>
              <w:t>/</w:t>
            </w:r>
          </w:p>
        </w:tc>
        <w:tc>
          <w:tcPr>
            <w:tcW w:w="161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761"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502"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c>
          <w:tcPr>
            <w:tcW w:w="1283"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420" w:hanging="420" w:hangingChars="200"/>
              <w:jc w:val="center"/>
              <w:rPr>
                <w:rFonts w:ascii="Times New Roman" w:hAnsi="Times New Roman" w:eastAsia="宋体" w:cs="宋体"/>
                <w:snapToGrid w:val="0"/>
                <w:kern w:val="21"/>
                <w:szCs w:val="21"/>
              </w:rPr>
            </w:pPr>
            <w:r>
              <w:rPr>
                <w:rFonts w:hint="eastAsia" w:ascii="Times New Roman" w:hAnsi="Times New Roman" w:eastAsia="宋体" w:cs="宋体"/>
                <w:snapToGrid w:val="0"/>
                <w:kern w:val="21"/>
                <w:szCs w:val="21"/>
              </w:rPr>
              <w:t>/</w:t>
            </w:r>
          </w:p>
        </w:tc>
      </w:tr>
    </w:tbl>
    <w:p>
      <w:pPr>
        <w:pStyle w:val="2"/>
        <w:sectPr>
          <w:pgSz w:w="16838" w:h="11906" w:orient="landscape"/>
          <w:pgMar w:top="1418" w:right="1418" w:bottom="1418" w:left="1418" w:header="851" w:footer="992" w:gutter="0"/>
          <w:pgNumType w:fmt="numberInDash"/>
          <w:cols w:space="425" w:num="1"/>
          <w:docGrid w:type="lines" w:linePitch="312" w:charSpace="0"/>
        </w:sectPr>
      </w:pPr>
    </w:p>
    <w:p>
      <w:pPr>
        <w:pStyle w:val="2"/>
        <w:sectPr>
          <w:type w:val="continuous"/>
          <w:pgSz w:w="16838" w:h="11906" w:orient="landscape"/>
          <w:pgMar w:top="1418" w:right="1418" w:bottom="1418" w:left="1418" w:header="851" w:footer="992" w:gutter="0"/>
          <w:pgNumType w:fmt="numberInDash"/>
          <w:cols w:space="425" w:num="1"/>
          <w:docGrid w:type="lines" w:linePitch="312" w:charSpace="0"/>
        </w:sectPr>
      </w:pPr>
    </w:p>
    <w:p>
      <w:pPr>
        <w:rPr>
          <w:rFonts w:ascii="Times New Roman" w:hAnsi="Times New Roman" w:eastAsia="宋体"/>
          <w:b/>
          <w:bCs/>
          <w:sz w:val="30"/>
          <w:szCs w:val="30"/>
        </w:rPr>
      </w:pPr>
      <w:r>
        <w:rPr>
          <w:rFonts w:hint="eastAsia" w:ascii="Times New Roman" w:hAnsi="Times New Roman" w:eastAsia="宋体"/>
          <w:b/>
          <w:bCs/>
          <w:sz w:val="30"/>
          <w:szCs w:val="30"/>
        </w:rPr>
        <w:t>附件1</w:t>
      </w:r>
      <w:r>
        <w:rPr>
          <w:rFonts w:ascii="Times New Roman" w:hAnsi="Times New Roman" w:eastAsia="宋体"/>
          <w:b/>
          <w:bCs/>
          <w:sz w:val="30"/>
          <w:szCs w:val="30"/>
        </w:rPr>
        <w:t xml:space="preserve"> </w:t>
      </w:r>
      <w:r>
        <w:rPr>
          <w:rFonts w:hint="eastAsia" w:ascii="Times New Roman" w:hAnsi="Times New Roman" w:eastAsia="宋体"/>
          <w:b/>
          <w:bCs/>
          <w:sz w:val="30"/>
          <w:szCs w:val="30"/>
        </w:rPr>
        <w:t>项目委托书</w:t>
      </w:r>
    </w:p>
    <w:p>
      <w:pPr>
        <w:bidi w:val="0"/>
        <w:jc w:val="left"/>
        <w:rPr>
          <w:rFonts w:hint="eastAsia" w:asciiTheme="minorHAnsi" w:hAnsiTheme="minorHAnsi" w:eastAsiaTheme="minorEastAsia" w:cstheme="minorBidi"/>
          <w:kern w:val="2"/>
          <w:sz w:val="21"/>
          <w:szCs w:val="22"/>
          <w:lang w:val="en-US" w:eastAsia="zh-CN" w:bidi="ar-SA"/>
        </w:rPr>
        <w:sectPr>
          <w:pgSz w:w="11906" w:h="16838"/>
          <w:pgMar w:top="1418" w:right="1418" w:bottom="1418" w:left="1418" w:header="851" w:footer="992" w:gutter="0"/>
          <w:pgNumType w:fmt="numberInDash"/>
          <w:cols w:space="425" w:num="1"/>
          <w:docGrid w:type="lines" w:linePitch="312" w:charSpace="0"/>
        </w:sectPr>
      </w:pPr>
      <w:r>
        <w:drawing>
          <wp:inline distT="0" distB="0" distL="114300" distR="114300">
            <wp:extent cx="5029200" cy="741045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0"/>
                    <a:stretch>
                      <a:fillRect/>
                    </a:stretch>
                  </pic:blipFill>
                  <pic:spPr>
                    <a:xfrm>
                      <a:off x="0" y="0"/>
                      <a:ext cx="5029200" cy="7410450"/>
                    </a:xfrm>
                    <a:prstGeom prst="rect">
                      <a:avLst/>
                    </a:prstGeom>
                    <a:noFill/>
                    <a:ln>
                      <a:noFill/>
                    </a:ln>
                  </pic:spPr>
                </pic:pic>
              </a:graphicData>
            </a:graphic>
          </wp:inline>
        </w:drawing>
      </w:r>
    </w:p>
    <w:p>
      <w:pPr>
        <w:rPr>
          <w:rFonts w:ascii="Times New Roman" w:hAnsi="Times New Roman" w:eastAsia="宋体"/>
          <w:b/>
          <w:bCs/>
          <w:sz w:val="30"/>
          <w:szCs w:val="30"/>
        </w:rPr>
      </w:pPr>
      <w:r>
        <w:rPr>
          <w:rFonts w:hint="eastAsia" w:ascii="Times New Roman" w:hAnsi="Times New Roman" w:eastAsia="宋体"/>
          <w:b/>
          <w:bCs/>
          <w:sz w:val="30"/>
          <w:szCs w:val="30"/>
        </w:rPr>
        <w:t>附件2</w:t>
      </w:r>
      <w:r>
        <w:rPr>
          <w:rFonts w:ascii="Times New Roman" w:hAnsi="Times New Roman" w:eastAsia="宋体"/>
          <w:b/>
          <w:bCs/>
          <w:sz w:val="30"/>
          <w:szCs w:val="30"/>
        </w:rPr>
        <w:t xml:space="preserve"> </w:t>
      </w:r>
      <w:r>
        <w:rPr>
          <w:rFonts w:hint="eastAsia" w:ascii="Times New Roman" w:hAnsi="Times New Roman" w:eastAsia="宋体"/>
          <w:b/>
          <w:bCs/>
          <w:sz w:val="30"/>
          <w:szCs w:val="30"/>
        </w:rPr>
        <w:t>企业营业执照</w:t>
      </w:r>
    </w:p>
    <w:p>
      <w:pPr>
        <w:jc w:val="center"/>
        <w:rPr>
          <w:rFonts w:ascii="Times New Roman" w:hAnsi="Times New Roman" w:eastAsia="宋体"/>
          <w:b/>
          <w:bCs/>
          <w:sz w:val="30"/>
          <w:szCs w:val="30"/>
        </w:rPr>
        <w:sectPr>
          <w:pgSz w:w="16838" w:h="11906" w:orient="landscape"/>
          <w:pgMar w:top="1418" w:right="1418" w:bottom="1418" w:left="1418" w:header="851" w:footer="992" w:gutter="0"/>
          <w:cols w:space="425" w:num="1"/>
          <w:docGrid w:type="lines" w:linePitch="312" w:charSpace="0"/>
        </w:sectPr>
      </w:pPr>
      <w:r>
        <w:rPr>
          <w14:ligatures w14:val="standardContextual"/>
        </w:rPr>
        <w:drawing>
          <wp:inline distT="0" distB="0" distL="0" distR="0">
            <wp:extent cx="6886575" cy="5108575"/>
            <wp:effectExtent l="0" t="0" r="9525" b="15875"/>
            <wp:docPr id="11893193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19356" name="图片 1"/>
                    <pic:cNvPicPr>
                      <a:picLocks noChangeAspect="1"/>
                    </pic:cNvPicPr>
                  </pic:nvPicPr>
                  <pic:blipFill>
                    <a:blip r:embed="rId21"/>
                    <a:stretch>
                      <a:fillRect/>
                    </a:stretch>
                  </pic:blipFill>
                  <pic:spPr>
                    <a:xfrm>
                      <a:off x="0" y="0"/>
                      <a:ext cx="6895941" cy="5115963"/>
                    </a:xfrm>
                    <a:prstGeom prst="rect">
                      <a:avLst/>
                    </a:prstGeom>
                  </pic:spPr>
                </pic:pic>
              </a:graphicData>
            </a:graphic>
          </wp:inline>
        </w:drawing>
      </w:r>
    </w:p>
    <w:p>
      <w:pPr>
        <w:rPr>
          <w:rFonts w:ascii="Times New Roman" w:hAnsi="Times New Roman" w:eastAsia="宋体"/>
          <w:b/>
          <w:bCs/>
          <w:sz w:val="30"/>
          <w:szCs w:val="30"/>
        </w:rPr>
      </w:pPr>
      <w:r>
        <w:rPr>
          <w:rFonts w:hint="eastAsia" w:ascii="Times New Roman" w:hAnsi="Times New Roman" w:eastAsia="宋体"/>
          <w:b/>
          <w:bCs/>
          <w:sz w:val="30"/>
          <w:szCs w:val="30"/>
        </w:rPr>
        <w:t>附件3</w:t>
      </w:r>
      <w:r>
        <w:rPr>
          <w:rFonts w:ascii="Times New Roman" w:hAnsi="Times New Roman" w:eastAsia="宋体"/>
          <w:b/>
          <w:bCs/>
          <w:sz w:val="30"/>
          <w:szCs w:val="30"/>
        </w:rPr>
        <w:t xml:space="preserve"> </w:t>
      </w:r>
      <w:r>
        <w:rPr>
          <w:rFonts w:hint="eastAsia" w:ascii="Times New Roman" w:hAnsi="Times New Roman" w:eastAsia="宋体"/>
          <w:b/>
          <w:bCs/>
          <w:sz w:val="30"/>
          <w:szCs w:val="30"/>
        </w:rPr>
        <w:t>项目所在地三区三线套图</w:t>
      </w:r>
    </w:p>
    <w:p>
      <w:pPr>
        <w:pStyle w:val="2"/>
        <w:jc w:val="center"/>
        <w:rPr>
          <w:rFonts w:ascii="Times New Roman" w:hAnsi="Times New Roman" w:eastAsia="宋体"/>
          <w:b/>
          <w:bCs/>
          <w:sz w:val="30"/>
          <w:szCs w:val="30"/>
        </w:rPr>
      </w:pPr>
      <w:r>
        <w:rPr>
          <w:rFonts w:ascii="Times New Roman" w:hAnsi="Times New Roman" w:eastAsia="宋体"/>
          <w:b/>
          <w:bCs/>
          <w:sz w:val="30"/>
          <w:szCs w:val="30"/>
        </w:rPr>
        <w:drawing>
          <wp:inline distT="0" distB="0" distL="0" distR="0">
            <wp:extent cx="5022850" cy="7260590"/>
            <wp:effectExtent l="0" t="0" r="16510" b="6350"/>
            <wp:docPr id="4973785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7850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rot="16200000">
                      <a:off x="0" y="0"/>
                      <a:ext cx="5028717" cy="7268600"/>
                    </a:xfrm>
                    <a:prstGeom prst="rect">
                      <a:avLst/>
                    </a:prstGeom>
                    <a:noFill/>
                    <a:ln>
                      <a:noFill/>
                    </a:ln>
                  </pic:spPr>
                </pic:pic>
              </a:graphicData>
            </a:graphic>
          </wp:inline>
        </w:drawing>
      </w:r>
    </w:p>
    <w:p>
      <w:pPr>
        <w:rPr>
          <w:rFonts w:ascii="Times New Roman" w:hAnsi="Times New Roman" w:eastAsia="宋体"/>
          <w:b/>
          <w:bCs/>
          <w:sz w:val="30"/>
          <w:szCs w:val="30"/>
        </w:rPr>
        <w:sectPr>
          <w:pgSz w:w="16838" w:h="11906" w:orient="landscape"/>
          <w:pgMar w:top="1418" w:right="1418" w:bottom="1418" w:left="1418" w:header="851" w:footer="992" w:gutter="0"/>
          <w:pgNumType w:fmt="numberInDash"/>
          <w:cols w:space="425" w:num="1"/>
          <w:docGrid w:type="lines" w:linePitch="312" w:charSpace="0"/>
        </w:sectPr>
      </w:pPr>
    </w:p>
    <w:p>
      <w:pPr>
        <w:rPr>
          <w:rFonts w:ascii="Times New Roman" w:hAnsi="Times New Roman" w:eastAsia="宋体"/>
          <w:b/>
          <w:bCs/>
          <w:sz w:val="30"/>
          <w:szCs w:val="30"/>
        </w:rPr>
      </w:pPr>
      <w:r>
        <w:rPr>
          <w:rFonts w:hint="eastAsia" w:ascii="Times New Roman" w:hAnsi="Times New Roman" w:eastAsia="宋体"/>
          <w:b/>
          <w:bCs/>
          <w:sz w:val="30"/>
          <w:szCs w:val="30"/>
        </w:rPr>
        <w:t>附件</w:t>
      </w:r>
      <w:r>
        <w:rPr>
          <w:rFonts w:hint="eastAsia" w:ascii="Times New Roman" w:hAnsi="Times New Roman" w:eastAsia="宋体"/>
          <w:b/>
          <w:bCs/>
          <w:sz w:val="30"/>
          <w:szCs w:val="30"/>
          <w:lang w:val="en-US" w:eastAsia="zh-CN"/>
        </w:rPr>
        <w:t>4</w:t>
      </w:r>
      <w:r>
        <w:rPr>
          <w:rFonts w:ascii="Times New Roman" w:hAnsi="Times New Roman" w:eastAsia="宋体"/>
          <w:b/>
          <w:bCs/>
          <w:sz w:val="30"/>
          <w:szCs w:val="30"/>
        </w:rPr>
        <w:t xml:space="preserve"> </w:t>
      </w:r>
      <w:r>
        <w:rPr>
          <w:rFonts w:hint="eastAsia" w:ascii="Times New Roman" w:hAnsi="Times New Roman" w:eastAsia="宋体"/>
          <w:b/>
          <w:bCs/>
          <w:sz w:val="30"/>
          <w:szCs w:val="30"/>
        </w:rPr>
        <w:t>租赁合同</w:t>
      </w:r>
    </w:p>
    <w:p>
      <w:pPr>
        <w:rPr>
          <w:rFonts w:ascii="Times New Roman" w:hAnsi="Times New Roman" w:eastAsia="宋体" w:cs="Times New Roman"/>
          <w:sz w:val="28"/>
          <w:szCs w:val="28"/>
        </w:rPr>
      </w:pPr>
      <w:r>
        <w:rPr>
          <w14:ligatures w14:val="standardContextual"/>
        </w:rPr>
        <w:drawing>
          <wp:inline distT="0" distB="0" distL="0" distR="0">
            <wp:extent cx="5686425" cy="7915275"/>
            <wp:effectExtent l="0" t="0" r="9525" b="9525"/>
            <wp:docPr id="16736124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12433" name="图片 1"/>
                    <pic:cNvPicPr>
                      <a:picLocks noChangeAspect="1"/>
                    </pic:cNvPicPr>
                  </pic:nvPicPr>
                  <pic:blipFill>
                    <a:blip r:embed="rId23"/>
                    <a:stretch>
                      <a:fillRect/>
                    </a:stretch>
                  </pic:blipFill>
                  <pic:spPr>
                    <a:xfrm>
                      <a:off x="0" y="0"/>
                      <a:ext cx="5686425" cy="7915275"/>
                    </a:xfrm>
                    <a:prstGeom prst="rect">
                      <a:avLst/>
                    </a:prstGeom>
                  </pic:spPr>
                </pic:pic>
              </a:graphicData>
            </a:graphic>
          </wp:inline>
        </w:drawing>
      </w:r>
    </w:p>
    <w:p>
      <w:pPr>
        <w:rPr>
          <w:rFonts w:ascii="Times New Roman" w:hAnsi="Times New Roman" w:eastAsia="宋体" w:cs="Times New Roman"/>
          <w:sz w:val="28"/>
          <w:szCs w:val="28"/>
        </w:rPr>
      </w:pPr>
    </w:p>
    <w:p>
      <w:pPr>
        <w:rPr>
          <w14:ligatures w14:val="standardContextual"/>
        </w:rPr>
      </w:pPr>
      <w:r>
        <w:rPr>
          <w14:ligatures w14:val="standardContextual"/>
        </w:rPr>
        <w:drawing>
          <wp:inline distT="0" distB="0" distL="0" distR="0">
            <wp:extent cx="5695950" cy="8086725"/>
            <wp:effectExtent l="0" t="0" r="0" b="9525"/>
            <wp:docPr id="14323606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60640" name="图片 1"/>
                    <pic:cNvPicPr>
                      <a:picLocks noChangeAspect="1"/>
                    </pic:cNvPicPr>
                  </pic:nvPicPr>
                  <pic:blipFill>
                    <a:blip r:embed="rId24"/>
                    <a:stretch>
                      <a:fillRect/>
                    </a:stretch>
                  </pic:blipFill>
                  <pic:spPr>
                    <a:xfrm>
                      <a:off x="0" y="0"/>
                      <a:ext cx="5695950" cy="8086725"/>
                    </a:xfrm>
                    <a:prstGeom prst="rect">
                      <a:avLst/>
                    </a:prstGeom>
                  </pic:spPr>
                </pic:pic>
              </a:graphicData>
            </a:graphic>
          </wp:inline>
        </w:drawing>
      </w:r>
    </w:p>
    <w:p>
      <w:pPr>
        <w:rPr>
          <w14:ligatures w14:val="standardContextual"/>
        </w:rPr>
      </w:pPr>
    </w:p>
    <w:p>
      <w:pPr>
        <w:rPr>
          <w14:ligatures w14:val="standardContextual"/>
        </w:rPr>
      </w:pPr>
    </w:p>
    <w:p>
      <w:pPr>
        <w:rPr>
          <w14:ligatures w14:val="standardContextual"/>
        </w:rPr>
      </w:pPr>
    </w:p>
    <w:p>
      <w:pPr>
        <w:rPr>
          <w:rFonts w:hint="eastAsia" w:ascii="Times New Roman" w:hAnsi="Times New Roman" w:eastAsia="宋体"/>
          <w:b/>
          <w:bCs/>
          <w:sz w:val="30"/>
          <w:szCs w:val="30"/>
          <w:lang w:val="en-US" w:eastAsia="zh-CN"/>
        </w:rPr>
      </w:pPr>
      <w:r>
        <w:rPr>
          <w:rFonts w:hint="eastAsia" w:ascii="Times New Roman" w:hAnsi="Times New Roman" w:eastAsia="宋体"/>
          <w:b/>
          <w:bCs/>
          <w:sz w:val="30"/>
          <w:szCs w:val="30"/>
          <w:lang w:val="en-US" w:eastAsia="zh-CN"/>
        </w:rPr>
        <w:t>附件5 检测报告</w:t>
      </w:r>
    </w:p>
    <w:p>
      <w:r>
        <w:drawing>
          <wp:inline distT="0" distB="0" distL="114300" distR="114300">
            <wp:extent cx="5705475" cy="80200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5705475" cy="8020050"/>
                    </a:xfrm>
                    <a:prstGeom prst="rect">
                      <a:avLst/>
                    </a:prstGeom>
                    <a:noFill/>
                    <a:ln>
                      <a:noFill/>
                    </a:ln>
                  </pic:spPr>
                </pic:pic>
              </a:graphicData>
            </a:graphic>
          </wp:inline>
        </w:drawing>
      </w:r>
    </w:p>
    <w:p/>
    <w:p>
      <w:r>
        <w:drawing>
          <wp:inline distT="0" distB="0" distL="114300" distR="114300">
            <wp:extent cx="5314950" cy="7839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6"/>
                    <a:stretch>
                      <a:fillRect/>
                    </a:stretch>
                  </pic:blipFill>
                  <pic:spPr>
                    <a:xfrm>
                      <a:off x="0" y="0"/>
                      <a:ext cx="5314950" cy="7839075"/>
                    </a:xfrm>
                    <a:prstGeom prst="rect">
                      <a:avLst/>
                    </a:prstGeom>
                    <a:noFill/>
                    <a:ln>
                      <a:noFill/>
                    </a:ln>
                  </pic:spPr>
                </pic:pic>
              </a:graphicData>
            </a:graphic>
          </wp:inline>
        </w:drawing>
      </w:r>
    </w:p>
    <w:p/>
    <w:p/>
    <w:p/>
    <w:p/>
    <w:p>
      <w:r>
        <w:drawing>
          <wp:inline distT="0" distB="0" distL="114300" distR="114300">
            <wp:extent cx="5324475" cy="79438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5324475" cy="7943850"/>
                    </a:xfrm>
                    <a:prstGeom prst="rect">
                      <a:avLst/>
                    </a:prstGeom>
                    <a:noFill/>
                    <a:ln>
                      <a:noFill/>
                    </a:ln>
                  </pic:spPr>
                </pic:pic>
              </a:graphicData>
            </a:graphic>
          </wp:inline>
        </w:drawing>
      </w:r>
    </w:p>
    <w:p/>
    <w:p/>
    <w:p/>
    <w:p>
      <w:r>
        <w:drawing>
          <wp:inline distT="0" distB="0" distL="114300" distR="114300">
            <wp:extent cx="5324475" cy="80200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8"/>
                    <a:stretch>
                      <a:fillRect/>
                    </a:stretch>
                  </pic:blipFill>
                  <pic:spPr>
                    <a:xfrm>
                      <a:off x="0" y="0"/>
                      <a:ext cx="5324475" cy="8020050"/>
                    </a:xfrm>
                    <a:prstGeom prst="rect">
                      <a:avLst/>
                    </a:prstGeom>
                    <a:noFill/>
                    <a:ln>
                      <a:noFill/>
                    </a:ln>
                  </pic:spPr>
                </pic:pic>
              </a:graphicData>
            </a:graphic>
          </wp:inline>
        </w:drawing>
      </w:r>
    </w:p>
    <w:p>
      <w:pPr>
        <w:sectPr>
          <w:pgSz w:w="11906" w:h="16838"/>
          <w:pgMar w:top="1418" w:right="1418" w:bottom="1418" w:left="1418" w:header="851" w:footer="992" w:gutter="0"/>
          <w:pgNumType w:fmt="numberInDash"/>
          <w:cols w:space="425" w:num="1"/>
          <w:docGrid w:type="lines" w:linePitch="312" w:charSpace="0"/>
        </w:sectPr>
      </w:pPr>
    </w:p>
    <w:p>
      <w:r>
        <w:drawing>
          <wp:anchor distT="0" distB="0" distL="114300" distR="114300" simplePos="0" relativeHeight="251664384" behindDoc="0" locked="0" layoutInCell="1" allowOverlap="1">
            <wp:simplePos x="0" y="0"/>
            <wp:positionH relativeFrom="column">
              <wp:posOffset>4445</wp:posOffset>
            </wp:positionH>
            <wp:positionV relativeFrom="paragraph">
              <wp:posOffset>42545</wp:posOffset>
            </wp:positionV>
            <wp:extent cx="516890" cy="1162050"/>
            <wp:effectExtent l="0" t="0" r="16510" b="0"/>
            <wp:wrapNone/>
            <wp:docPr id="3027028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02862"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17112" cy="1162050"/>
                    </a:xfrm>
                    <a:prstGeom prst="rect">
                      <a:avLst/>
                    </a:prstGeom>
                    <a:noFill/>
                    <a:ln>
                      <a:noFill/>
                    </a:ln>
                  </pic:spPr>
                </pic:pic>
              </a:graphicData>
            </a:graphic>
          </wp:anchor>
        </w:drawing>
      </w:r>
      <w:r>
        <w:drawing>
          <wp:inline distT="0" distB="0" distL="0" distR="0">
            <wp:extent cx="8891270" cy="4890770"/>
            <wp:effectExtent l="0" t="0" r="5080" b="5080"/>
            <wp:docPr id="12199108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10862" name="图片 1"/>
                    <pic:cNvPicPr>
                      <a:picLocks noChangeAspect="1"/>
                    </pic:cNvPicPr>
                  </pic:nvPicPr>
                  <pic:blipFill>
                    <a:blip r:embed="rId30"/>
                    <a:stretch>
                      <a:fillRect/>
                    </a:stretch>
                  </pic:blipFill>
                  <pic:spPr>
                    <a:xfrm>
                      <a:off x="0" y="0"/>
                      <a:ext cx="8891270" cy="4890770"/>
                    </a:xfrm>
                    <a:prstGeom prst="rect">
                      <a:avLst/>
                    </a:prstGeom>
                  </pic:spPr>
                </pic:pic>
              </a:graphicData>
            </a:graphic>
          </wp:inline>
        </w:drawing>
      </w:r>
      <w:r>
        <w:t xml:space="preserve"> </w:t>
      </w:r>
    </w:p>
    <w:p>
      <w:pPr>
        <w:jc w:val="center"/>
        <w:rPr>
          <w:rFonts w:ascii="Times New Roman" w:hAnsi="Times New Roman" w:eastAsia="宋体"/>
          <w:b/>
          <w:bCs/>
          <w:sz w:val="28"/>
          <w:szCs w:val="28"/>
        </w:rPr>
      </w:pPr>
      <w:r>
        <w:rPr>
          <w:rFonts w:hint="eastAsia" w:ascii="Times New Roman" w:hAnsi="Times New Roman" w:eastAsia="宋体"/>
          <w:b/>
          <w:bCs/>
          <w:sz w:val="28"/>
          <w:szCs w:val="28"/>
        </w:rPr>
        <w:t>附图一项目地理位置图</w:t>
      </w:r>
    </w:p>
    <w:p>
      <w:pPr>
        <w:tabs>
          <w:tab w:val="left" w:pos="5115"/>
        </w:tabs>
        <w:jc w:val="center"/>
        <w:rPr>
          <w:rFonts w:ascii="Times New Roman" w:hAnsi="Times New Roman" w:eastAsia="宋体"/>
          <w:b/>
          <w:bCs/>
          <w:sz w:val="28"/>
          <w:szCs w:val="28"/>
        </w:rPr>
      </w:pPr>
      <w:r>
        <w:drawing>
          <wp:anchor distT="0" distB="0" distL="114300" distR="114300" simplePos="0" relativeHeight="251667456" behindDoc="0" locked="0" layoutInCell="1" allowOverlap="1">
            <wp:simplePos x="0" y="0"/>
            <wp:positionH relativeFrom="column">
              <wp:posOffset>8043545</wp:posOffset>
            </wp:positionH>
            <wp:positionV relativeFrom="paragraph">
              <wp:posOffset>23495</wp:posOffset>
            </wp:positionV>
            <wp:extent cx="516890" cy="1162050"/>
            <wp:effectExtent l="0" t="0" r="16510" b="0"/>
            <wp:wrapNone/>
            <wp:docPr id="1973880147" name="图片 197388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80147" name="图片 19738801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17112" cy="1162050"/>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6087745</wp:posOffset>
            </wp:positionH>
            <wp:positionV relativeFrom="paragraph">
              <wp:posOffset>3108325</wp:posOffset>
            </wp:positionV>
            <wp:extent cx="2522855" cy="2216150"/>
            <wp:effectExtent l="0" t="0" r="10795" b="12700"/>
            <wp:wrapNone/>
            <wp:docPr id="369631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31834" name="图片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3039" cy="2216150"/>
                    </a:xfrm>
                    <a:prstGeom prst="rect">
                      <a:avLst/>
                    </a:prstGeom>
                  </pic:spPr>
                </pic:pic>
              </a:graphicData>
            </a:graphic>
          </wp:anchor>
        </w:drawing>
      </w:r>
      <w:r>
        <mc:AlternateContent>
          <mc:Choice Requires="wps">
            <w:drawing>
              <wp:anchor distT="0" distB="0" distL="114300" distR="114300" simplePos="0" relativeHeight="251665408" behindDoc="0" locked="0" layoutInCell="1" allowOverlap="1">
                <wp:simplePos x="0" y="0"/>
                <wp:positionH relativeFrom="column">
                  <wp:posOffset>1581150</wp:posOffset>
                </wp:positionH>
                <wp:positionV relativeFrom="paragraph">
                  <wp:posOffset>1751965</wp:posOffset>
                </wp:positionV>
                <wp:extent cx="1076325" cy="533400"/>
                <wp:effectExtent l="6350" t="6350" r="1127125" b="622300"/>
                <wp:wrapNone/>
                <wp:docPr id="1529914240" name="对话气泡: 圆角矩形 2"/>
                <wp:cNvGraphicFramePr/>
                <a:graphic xmlns:a="http://schemas.openxmlformats.org/drawingml/2006/main">
                  <a:graphicData uri="http://schemas.microsoft.com/office/word/2010/wordprocessingShape">
                    <wps:wsp>
                      <wps:cNvSpPr/>
                      <wps:spPr>
                        <a:xfrm>
                          <a:off x="0" y="0"/>
                          <a:ext cx="1076325" cy="533400"/>
                        </a:xfrm>
                        <a:prstGeom prst="wedgeRoundRectCallout">
                          <a:avLst>
                            <a:gd name="adj1" fmla="val 149079"/>
                            <a:gd name="adj2" fmla="val 160714"/>
                            <a:gd name="adj3" fmla="val 16667"/>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rFonts w:ascii="宋体" w:hAnsi="宋体" w:eastAsia="宋体"/>
                                <w:color w:val="FF0000"/>
                              </w:rPr>
                            </w:pPr>
                            <w:r>
                              <w:rPr>
                                <w:rFonts w:hint="eastAsia" w:ascii="宋体" w:hAnsi="宋体" w:eastAsia="宋体"/>
                                <w:color w:val="FF0000"/>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2" o:spid="_x0000_s1026" o:spt="62" type="#_x0000_t62" style="position:absolute;left:0pt;margin-left:124.5pt;margin-top:137.95pt;height:42pt;width:84.75pt;z-index:251665408;v-text-anchor:middle;mso-width-relative:page;mso-height-relative:page;" fillcolor="#4472C4 [3204]" filled="t" stroked="t" coordsize="21600,21600" o:gfxdata="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qeZcn94AAAALAQAADwAAAAAAAAABACAA&#10;AAAiAAAAZHJzL2Rvd25yZXYueG1sUEsBAhQAFAAAAAgAh07iQCs3WQDrAgAAxQUAAA4AAAAAAAAA&#10;AQAgAAAALQEAAGRycy9lMm9Eb2MueG1sUEsFBgAAAAAGAAYAWQEAAIoGAAAAAA==&#10;" adj="43001,45514,14400">
                <v:fill on="t" focussize="0,0"/>
                <v:stroke weight="1pt" color="#172C51 [3204]" miterlimit="8" joinstyle="miter"/>
                <v:imagedata o:title=""/>
                <o:lock v:ext="edit" aspectratio="f"/>
                <v:textbox>
                  <w:txbxContent>
                    <w:p>
                      <w:pPr>
                        <w:jc w:val="center"/>
                        <w:rPr>
                          <w:rFonts w:ascii="宋体" w:hAnsi="宋体" w:eastAsia="宋体"/>
                          <w:color w:val="FF0000"/>
                        </w:rPr>
                      </w:pPr>
                      <w:r>
                        <w:rPr>
                          <w:rFonts w:hint="eastAsia" w:ascii="宋体" w:hAnsi="宋体" w:eastAsia="宋体"/>
                          <w:color w:val="FF0000"/>
                        </w:rPr>
                        <w:t>项目所在地</w:t>
                      </w:r>
                    </w:p>
                  </w:txbxContent>
                </v:textbox>
              </v:shape>
            </w:pict>
          </mc:Fallback>
        </mc:AlternateContent>
      </w:r>
      <w:r>
        <w:drawing>
          <wp:inline distT="0" distB="0" distL="0" distR="0">
            <wp:extent cx="8343900" cy="5296535"/>
            <wp:effectExtent l="0" t="0" r="0" b="18415"/>
            <wp:docPr id="10194482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48282" name="图片 1"/>
                    <pic:cNvPicPr>
                      <a:picLocks noChangeAspect="1"/>
                    </pic:cNvPicPr>
                  </pic:nvPicPr>
                  <pic:blipFill>
                    <a:blip r:embed="rId32"/>
                    <a:stretch>
                      <a:fillRect/>
                    </a:stretch>
                  </pic:blipFill>
                  <pic:spPr>
                    <a:xfrm>
                      <a:off x="0" y="0"/>
                      <a:ext cx="8352186" cy="5302284"/>
                    </a:xfrm>
                    <a:prstGeom prst="rect">
                      <a:avLst/>
                    </a:prstGeom>
                  </pic:spPr>
                </pic:pic>
              </a:graphicData>
            </a:graphic>
          </wp:inline>
        </w:drawing>
      </w:r>
    </w:p>
    <w:p>
      <w:pPr>
        <w:jc w:val="center"/>
        <w:rPr>
          <w:rFonts w:ascii="Times New Roman" w:hAnsi="Times New Roman" w:eastAsia="宋体"/>
          <w:b/>
          <w:bCs/>
          <w:sz w:val="28"/>
          <w:szCs w:val="28"/>
        </w:rPr>
      </w:pPr>
      <w:r>
        <w:rPr>
          <w:rFonts w:hint="eastAsia" w:ascii="Times New Roman" w:hAnsi="Times New Roman" w:eastAsia="宋体"/>
          <w:b/>
          <w:bCs/>
          <w:sz w:val="28"/>
          <w:szCs w:val="28"/>
        </w:rPr>
        <w:t>附图二 项目所在水系图</w:t>
      </w:r>
    </w:p>
    <w:p>
      <w:pPr>
        <w:tabs>
          <w:tab w:val="left" w:pos="5115"/>
        </w:tabs>
        <w:jc w:val="center"/>
        <w:rPr>
          <w:rFonts w:ascii="Times New Roman" w:hAnsi="Times New Roman" w:eastAsia="宋体"/>
          <w:b/>
          <w:bCs/>
          <w:sz w:val="28"/>
          <w:szCs w:val="28"/>
        </w:rPr>
      </w:pPr>
      <w:r>
        <mc:AlternateContent>
          <mc:Choice Requires="wps">
            <w:drawing>
              <wp:anchor distT="0" distB="0" distL="114300" distR="114300" simplePos="0" relativeHeight="251684864" behindDoc="0" locked="0" layoutInCell="1" allowOverlap="1">
                <wp:simplePos x="0" y="0"/>
                <wp:positionH relativeFrom="column">
                  <wp:posOffset>4986020</wp:posOffset>
                </wp:positionH>
                <wp:positionV relativeFrom="paragraph">
                  <wp:posOffset>194945</wp:posOffset>
                </wp:positionV>
                <wp:extent cx="0" cy="3002915"/>
                <wp:effectExtent l="38100" t="0" r="38100" b="6985"/>
                <wp:wrapNone/>
                <wp:docPr id="1928770773" name="直接箭头连接符 4"/>
                <wp:cNvGraphicFramePr/>
                <a:graphic xmlns:a="http://schemas.openxmlformats.org/drawingml/2006/main">
                  <a:graphicData uri="http://schemas.microsoft.com/office/word/2010/wordprocessingShape">
                    <wps:wsp>
                      <wps:cNvCnPr/>
                      <wps:spPr>
                        <a:xfrm flipV="1">
                          <a:off x="0" y="0"/>
                          <a:ext cx="0" cy="300291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 o:spid="_x0000_s1026" o:spt="32" type="#_x0000_t32" style="position:absolute;left:0pt;flip:y;margin-left:392.6pt;margin-top:15.35pt;height:236.45pt;width:0pt;z-index:251684864;mso-width-relative:page;mso-height-relative:page;" filled="f" stroked="t" coordsize="21600,21600" o:gfxdata="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wAtWu2QAAAAoBAAAP&#10;AAAAAAAAAAEAIAAAACIAAABkcnMvZG93bnJldi54bWxQSwECFAAUAAAACACHTuJA2YJf/BcCAAD0&#10;AwAADgAAAAAAAAABACAAAAAoAQAAZHJzL2Uyb0RvYy54bWxQSwUGAAAAAAYABgBZAQAAsQUAAAAA&#10;">
                <v:fill on="f" focussize="0,0"/>
                <v:stroke weight="0.5pt" color="#00B050 [3204]" miterlimit="8" joinstyle="miter" endarrow="block"/>
                <v:imagedata o:title=""/>
                <o:lock v:ext="edit" aspectratio="f"/>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1652270</wp:posOffset>
                </wp:positionH>
                <wp:positionV relativeFrom="paragraph">
                  <wp:posOffset>191770</wp:posOffset>
                </wp:positionV>
                <wp:extent cx="47625" cy="3002915"/>
                <wp:effectExtent l="36830" t="0" r="10795" b="6985"/>
                <wp:wrapNone/>
                <wp:docPr id="1822503254" name="直接箭头连接符 1"/>
                <wp:cNvGraphicFramePr/>
                <a:graphic xmlns:a="http://schemas.openxmlformats.org/drawingml/2006/main">
                  <a:graphicData uri="http://schemas.microsoft.com/office/word/2010/wordprocessingShape">
                    <wps:wsp>
                      <wps:cNvCnPr/>
                      <wps:spPr>
                        <a:xfrm flipH="1" flipV="1">
                          <a:off x="0" y="0"/>
                          <a:ext cx="47625" cy="300291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 o:spid="_x0000_s1026" o:spt="32" type="#_x0000_t32" style="position:absolute;left:0pt;flip:x y;margin-left:130.1pt;margin-top:15.1pt;height:236.45pt;width:3.75pt;z-index:251681792;mso-width-relative:page;mso-height-relative:page;" filled="f" stroked="t" coordsize="21600,21600" o:gfxdata="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Ha4NW&#10;2QAAAAoBAAAPAAAAAAAAAAEAIAAAACIAAABkcnMvZG93bnJldi54bWxQSwECFAAUAAAACACHTuJA&#10;fOhOmCACAAACBAAADgAAAAAAAAABACAAAAAoAQAAZHJzL2Uyb0RvYy54bWxQSwUGAAAAAAYABgBZ&#10;AQAAugUAAAAA&#10;">
                <v:fill on="f" focussize="0,0"/>
                <v:stroke weight="0.5pt" color="#00B050 [3204]" miterlimit="8" joinstyle="miter" endarrow="block"/>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1699895</wp:posOffset>
                </wp:positionH>
                <wp:positionV relativeFrom="paragraph">
                  <wp:posOffset>147320</wp:posOffset>
                </wp:positionV>
                <wp:extent cx="5486400" cy="45720"/>
                <wp:effectExtent l="0" t="37465" r="0" b="12065"/>
                <wp:wrapNone/>
                <wp:docPr id="2114667532" name="直接箭头连接符 2"/>
                <wp:cNvGraphicFramePr/>
                <a:graphic xmlns:a="http://schemas.openxmlformats.org/drawingml/2006/main">
                  <a:graphicData uri="http://schemas.microsoft.com/office/word/2010/wordprocessingShape">
                    <wps:wsp>
                      <wps:cNvCnPr/>
                      <wps:spPr>
                        <a:xfrm flipV="1">
                          <a:off x="0" y="0"/>
                          <a:ext cx="5486400" cy="45719"/>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 o:spid="_x0000_s1026" o:spt="32" type="#_x0000_t32" style="position:absolute;left:0pt;flip:y;margin-left:133.85pt;margin-top:11.6pt;height:3.6pt;width:432pt;z-index:251682816;mso-width-relative:page;mso-height-relative:page;" filled="f" stroked="t" coordsize="21600,21600" o:gfxdata="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nSXhnZAAAA&#10;CgEAAA8AAAAAAAAAAQAgAAAAIgAAAGRycy9kb3ducmV2LnhtbFBLAQIUABQAAAAIAIdO4kACu5IX&#10;HAIAAPgDAAAOAAAAAAAAAAEAIAAAACgBAABkcnMvZTJvRG9jLnhtbFBLBQYAAAAABgAGAFkBAAC2&#10;BQAAAAA=&#10;">
                <v:fill on="f" focussize="0,0"/>
                <v:stroke weight="0.5pt" color="#00B050 [3204]" miterlimit="8" joinstyle="miter" endarrow="block"/>
                <v:imagedata o:title=""/>
                <o:lock v:ext="edit" aspectratio="f"/>
              </v:shape>
            </w:pict>
          </mc:Fallback>
        </mc:AlternateContent>
      </w:r>
      <w:r>
        <w:drawing>
          <wp:anchor distT="0" distB="0" distL="114300" distR="114300" simplePos="0" relativeHeight="251677696" behindDoc="0" locked="0" layoutInCell="1" allowOverlap="1">
            <wp:simplePos x="0" y="0"/>
            <wp:positionH relativeFrom="column">
              <wp:posOffset>133350</wp:posOffset>
            </wp:positionH>
            <wp:positionV relativeFrom="paragraph">
              <wp:posOffset>-369570</wp:posOffset>
            </wp:positionV>
            <wp:extent cx="516890" cy="1162050"/>
            <wp:effectExtent l="0" t="0" r="16510" b="0"/>
            <wp:wrapNone/>
            <wp:docPr id="601898603" name="图片 60189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98603" name="图片 6018986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17112" cy="1162050"/>
                    </a:xfrm>
                    <a:prstGeom prst="rect">
                      <a:avLst/>
                    </a:prstGeom>
                    <a:noFill/>
                    <a:ln>
                      <a:noFill/>
                    </a:ln>
                  </pic:spPr>
                </pic:pic>
              </a:graphicData>
            </a:graphic>
          </wp:anchor>
        </w:drawing>
      </w:r>
      <w:r>
        <w:rPr>
          <w:rFonts w:ascii="Times New Roman" w:hAnsi="Times New Roman" w:eastAsia="宋体"/>
          <w:sz w:val="28"/>
          <w:szCs w:val="28"/>
        </w:rPr>
        <mc:AlternateContent>
          <mc:Choice Requires="wps">
            <w:drawing>
              <wp:anchor distT="0" distB="0" distL="114300" distR="114300" simplePos="0" relativeHeight="251676672" behindDoc="0" locked="0" layoutInCell="1" allowOverlap="1">
                <wp:simplePos x="0" y="0"/>
                <wp:positionH relativeFrom="column">
                  <wp:posOffset>4557395</wp:posOffset>
                </wp:positionH>
                <wp:positionV relativeFrom="paragraph">
                  <wp:posOffset>-167005</wp:posOffset>
                </wp:positionV>
                <wp:extent cx="1276350" cy="314325"/>
                <wp:effectExtent l="4445" t="4445" r="14605" b="5080"/>
                <wp:wrapNone/>
                <wp:docPr id="1871017748" name="文本框 2"/>
                <wp:cNvGraphicFramePr/>
                <a:graphic xmlns:a="http://schemas.openxmlformats.org/drawingml/2006/main">
                  <a:graphicData uri="http://schemas.microsoft.com/office/word/2010/wordprocessingShape">
                    <wps:wsp>
                      <wps:cNvSpPr txBox="1"/>
                      <wps:spPr>
                        <a:xfrm>
                          <a:off x="0" y="0"/>
                          <a:ext cx="1276350" cy="314325"/>
                        </a:xfrm>
                        <a:prstGeom prst="rect">
                          <a:avLst/>
                        </a:prstGeom>
                        <a:solidFill>
                          <a:schemeClr val="lt1"/>
                        </a:solidFill>
                        <a:ln w="6350">
                          <a:solidFill>
                            <a:prstClr val="black"/>
                          </a:solidFill>
                        </a:ln>
                      </wps:spPr>
                      <wps:txbx>
                        <w:txbxContent>
                          <w:p>
                            <w:pPr>
                              <w:jc w:val="center"/>
                            </w:pPr>
                            <w:r>
                              <w:rPr>
                                <w:rFonts w:hint="eastAsia"/>
                              </w:rPr>
                              <w:t>办公区</w:t>
                            </w:r>
                          </w:p>
                          <w:p>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358.85pt;margin-top:-13.15pt;height:24.75pt;width:100.5pt;z-index:251676672;mso-width-relative:page;mso-height-relative:page;" fillcolor="#FFFFFF [3201]" filled="t" stroked="t" coordsize="21600,21600" o:gfxdata="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vbW&#10;SdcAAAAKAQAADwAAAAAAAAABACAAAAAiAAAAZHJzL2Rvd25yZXYueG1sUEsBAhQAFAAAAAgAh07i&#10;QITdvOJcAgAAwAQAAA4AAAAAAAAAAQAgAAAAJgEAAGRycy9lMm9Eb2MueG1sUEsFBgAAAAAGAAYA&#10;WQEAAPQFAAAAAA==&#10;">
                <v:fill on="t" focussize="0,0"/>
                <v:stroke weight="0.5pt" color="#000000" joinstyle="round"/>
                <v:imagedata o:title=""/>
                <o:lock v:ext="edit" aspectratio="f"/>
                <v:textbox>
                  <w:txbxContent>
                    <w:p>
                      <w:pPr>
                        <w:jc w:val="center"/>
                      </w:pPr>
                      <w:r>
                        <w:rPr>
                          <w:rFonts w:hint="eastAsia"/>
                        </w:rPr>
                        <w:t>办公区</w:t>
                      </w:r>
                    </w:p>
                    <w:p>
                      <w:pPr>
                        <w:rPr>
                          <w:sz w:val="30"/>
                          <w:szCs w:val="30"/>
                        </w:rPr>
                      </w:pPr>
                    </w:p>
                  </w:txbxContent>
                </v:textbox>
              </v:shape>
            </w:pict>
          </mc:Fallback>
        </mc:AlternateContent>
      </w:r>
      <w:r>
        <w:rPr>
          <w:rFonts w:hint="eastAsia" w:ascii="Times New Roman" w:hAnsi="Times New Roman" w:eastAsia="宋体"/>
          <w:b/>
          <w:bCs/>
          <w:sz w:val="28"/>
          <w:szCs w:val="28"/>
        </w:rPr>
        <mc:AlternateContent>
          <mc:Choice Requires="wps">
            <w:drawing>
              <wp:anchor distT="0" distB="0" distL="114300" distR="114300" simplePos="0" relativeHeight="251672576" behindDoc="0" locked="0" layoutInCell="1" allowOverlap="1">
                <wp:simplePos x="0" y="0"/>
                <wp:positionH relativeFrom="column">
                  <wp:posOffset>7233920</wp:posOffset>
                </wp:positionH>
                <wp:positionV relativeFrom="paragraph">
                  <wp:posOffset>-109855</wp:posOffset>
                </wp:positionV>
                <wp:extent cx="1419225" cy="276225"/>
                <wp:effectExtent l="4445" t="4445" r="5080" b="5080"/>
                <wp:wrapNone/>
                <wp:docPr id="122973019" name="文本框 6"/>
                <wp:cNvGraphicFramePr/>
                <a:graphic xmlns:a="http://schemas.openxmlformats.org/drawingml/2006/main">
                  <a:graphicData uri="http://schemas.microsoft.com/office/word/2010/wordprocessingShape">
                    <wps:wsp>
                      <wps:cNvSpPr txBox="1"/>
                      <wps:spPr>
                        <a:xfrm>
                          <a:off x="0" y="0"/>
                          <a:ext cx="1419225" cy="276225"/>
                        </a:xfrm>
                        <a:prstGeom prst="rect">
                          <a:avLst/>
                        </a:prstGeom>
                        <a:solidFill>
                          <a:schemeClr val="lt1"/>
                        </a:solidFill>
                        <a:ln w="6350">
                          <a:solidFill>
                            <a:prstClr val="black"/>
                          </a:solidFill>
                        </a:ln>
                      </wps:spPr>
                      <wps:txbx>
                        <w:txbxContent>
                          <w:p>
                            <w:pPr>
                              <w:jc w:val="center"/>
                            </w:pPr>
                            <w:r>
                              <w:rPr>
                                <w:rFonts w:hint="eastAsia"/>
                              </w:rPr>
                              <w:t>初期雨水沉淀池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6" o:spt="202" type="#_x0000_t202" style="position:absolute;left:0pt;margin-left:569.6pt;margin-top:-8.65pt;height:21.75pt;width:111.75pt;z-index:251672576;mso-width-relative:page;mso-height-relative:page;" fillcolor="#FFFFFF [3201]" filled="t" stroked="t" coordsize="21600,21600" o:gfxdata="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g&#10;HvkX1wAAAAwBAAAPAAAAAAAAAAEAIAAAACIAAABkcnMvZG93bnJldi54bWxQSwECFAAUAAAACACH&#10;TuJAnJ51i14CAAC/BAAADgAAAAAAAAABACAAAAAmAQAAZHJzL2Uyb0RvYy54bWxQSwUGAAAAAAYA&#10;BgBZAQAA9gUAAAAA&#10;">
                <v:fill on="t" focussize="0,0"/>
                <v:stroke weight="0.5pt" color="#000000" joinstyle="round"/>
                <v:imagedata o:title=""/>
                <o:lock v:ext="edit" aspectratio="f"/>
                <v:textbox>
                  <w:txbxContent>
                    <w:p>
                      <w:pPr>
                        <w:jc w:val="center"/>
                      </w:pPr>
                      <w:r>
                        <w:rPr>
                          <w:rFonts w:hint="eastAsia"/>
                        </w:rPr>
                        <w:t>初期雨水沉淀池</w:t>
                      </w:r>
                    </w:p>
                  </w:txbxContent>
                </v:textbox>
              </v:shape>
            </w:pict>
          </mc:Fallback>
        </mc:AlternateContent>
      </w:r>
    </w:p>
    <w:p>
      <w:pPr>
        <w:tabs>
          <w:tab w:val="left" w:pos="5115"/>
        </w:tabs>
        <w:jc w:val="center"/>
        <w:rPr>
          <w:rFonts w:ascii="Times New Roman" w:hAnsi="Times New Roman" w:eastAsia="宋体"/>
          <w:b/>
          <w:bCs/>
          <w:sz w:val="28"/>
          <w:szCs w:val="28"/>
        </w:rPr>
      </w:pPr>
      <w:r>
        <w:rPr>
          <w:rFonts w:hint="eastAsia" w:ascii="Times New Roman" w:hAnsi="Times New Roman" w:eastAsia="宋体"/>
          <w:b/>
          <w:bCs/>
          <w:sz w:val="28"/>
          <w:szCs w:val="28"/>
        </w:rPr>
        <mc:AlternateContent>
          <mc:Choice Requires="wps">
            <w:drawing>
              <wp:anchor distT="0" distB="0" distL="114300" distR="114300" simplePos="0" relativeHeight="251686912" behindDoc="0" locked="0" layoutInCell="1" allowOverlap="1">
                <wp:simplePos x="0" y="0"/>
                <wp:positionH relativeFrom="column">
                  <wp:posOffset>6176645</wp:posOffset>
                </wp:positionH>
                <wp:positionV relativeFrom="paragraph">
                  <wp:posOffset>332105</wp:posOffset>
                </wp:positionV>
                <wp:extent cx="0" cy="314325"/>
                <wp:effectExtent l="38100" t="0" r="38100" b="9525"/>
                <wp:wrapNone/>
                <wp:docPr id="1619234526" name="直接箭头连接符 6"/>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6" o:spid="_x0000_s1026" o:spt="32" type="#_x0000_t32" style="position:absolute;left:0pt;margin-left:486.35pt;margin-top:26.15pt;height:24.75pt;width:0pt;z-index:251686912;mso-width-relative:page;mso-height-relative:page;" filled="f" stroked="t" coordsize="21600,21600" o:gfxdata="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W6TV3XAAAACgEAAA8AAAAAAAAAAQAg&#10;AAAAIgAAAGRycy9kb3ducmV2LnhtbFBLAQIUABQAAAAIAIdO4kChkUkUDwIAAOkDAAAOAAAAAAAA&#10;AAEAIAAAACYBAABkcnMvZTJvRG9jLnhtbFBLBQYAAAAABgAGAFkBAACnBQAAAAA=&#10;">
                <v:fill on="f" focussize="0,0"/>
                <v:stroke weight="0.5pt" color="#FF0000 [3204]" miterlimit="8" joinstyle="miter" endarrow="block"/>
                <v:imagedata o:title=""/>
                <o:lock v:ext="edit" aspectratio="f"/>
              </v:shape>
            </w:pict>
          </mc:Fallback>
        </mc:AlternateContent>
      </w:r>
      <w:r>
        <w:rPr>
          <w:rFonts w:hint="eastAsia" w:ascii="Times New Roman" w:hAnsi="Times New Roman" w:eastAsia="宋体"/>
          <w:b/>
          <w:bCs/>
          <w:sz w:val="28"/>
          <w:szCs w:val="28"/>
        </w:rPr>
        <mc:AlternateContent>
          <mc:Choice Requires="wps">
            <w:drawing>
              <wp:anchor distT="0" distB="0" distL="114300" distR="114300" simplePos="0" relativeHeight="251685888" behindDoc="0" locked="0" layoutInCell="1" allowOverlap="1">
                <wp:simplePos x="0" y="0"/>
                <wp:positionH relativeFrom="column">
                  <wp:posOffset>6357620</wp:posOffset>
                </wp:positionH>
                <wp:positionV relativeFrom="paragraph">
                  <wp:posOffset>332105</wp:posOffset>
                </wp:positionV>
                <wp:extent cx="0" cy="314325"/>
                <wp:effectExtent l="38100" t="0" r="38100" b="9525"/>
                <wp:wrapNone/>
                <wp:docPr id="392042377" name="直接箭头连接符 5"/>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5" o:spid="_x0000_s1026" o:spt="32" type="#_x0000_t32" style="position:absolute;left:0pt;flip:y;margin-left:500.6pt;margin-top:26.15pt;height:24.75pt;width:0pt;z-index:251685888;mso-width-relative:page;mso-height-relative:page;" filled="f" stroked="t" coordsize="21600,21600" o:gfxdata="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nCSf2AAAAAwBAAAPAAAA&#10;AAAAAAEAIAAAACIAAABkcnMvZG93bnJldi54bWxQSwECFAAUAAAACACHTuJAkgGntRUCAADyAwAA&#10;DgAAAAAAAAABACAAAAAnAQAAZHJzL2Uyb0RvYy54bWxQSwUGAAAAAAYABgBZAQAArgUAAAAA&#10;">
                <v:fill on="f" focussize="0,0"/>
                <v:stroke weight="0.5pt" color="#FF0000 [3204]" miterlimit="8" joinstyle="miter" endarrow="block"/>
                <v:imagedata o:title=""/>
                <o:lock v:ext="edit" aspectratio="f"/>
              </v:shape>
            </w:pict>
          </mc:Fallback>
        </mc:AlternateContent>
      </w:r>
      <w:r>
        <w:rPr>
          <w:rFonts w:hint="eastAsia" w:ascii="Times New Roman" w:hAnsi="Times New Roman" w:eastAsia="宋体"/>
          <w:b/>
          <w:bCs/>
          <w:sz w:val="28"/>
          <w:szCs w:val="28"/>
        </w:rPr>
        <mc:AlternateContent>
          <mc:Choice Requires="wps">
            <w:drawing>
              <wp:anchor distT="0" distB="0" distL="114300" distR="114300" simplePos="0" relativeHeight="251671552" behindDoc="0" locked="0" layoutInCell="1" allowOverlap="1">
                <wp:simplePos x="0" y="0"/>
                <wp:positionH relativeFrom="column">
                  <wp:posOffset>6005195</wp:posOffset>
                </wp:positionH>
                <wp:positionV relativeFrom="paragraph">
                  <wp:posOffset>55880</wp:posOffset>
                </wp:positionV>
                <wp:extent cx="714375" cy="276225"/>
                <wp:effectExtent l="4445" t="5080" r="5080" b="4445"/>
                <wp:wrapNone/>
                <wp:docPr id="942572551" name="文本框 6"/>
                <wp:cNvGraphicFramePr/>
                <a:graphic xmlns:a="http://schemas.openxmlformats.org/drawingml/2006/main">
                  <a:graphicData uri="http://schemas.microsoft.com/office/word/2010/wordprocessingShape">
                    <wps:wsp>
                      <wps:cNvSpPr txBox="1"/>
                      <wps:spPr>
                        <a:xfrm>
                          <a:off x="0" y="0"/>
                          <a:ext cx="714375" cy="276225"/>
                        </a:xfrm>
                        <a:prstGeom prst="rect">
                          <a:avLst/>
                        </a:prstGeom>
                        <a:solidFill>
                          <a:schemeClr val="lt1"/>
                        </a:solidFill>
                        <a:ln w="6350">
                          <a:solidFill>
                            <a:prstClr val="black"/>
                          </a:solidFill>
                        </a:ln>
                      </wps:spPr>
                      <wps:txbx>
                        <w:txbxContent>
                          <w:p>
                            <w:r>
                              <w:rPr>
                                <w:rFonts w:hint="eastAsia"/>
                              </w:rPr>
                              <w:t>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6" o:spt="202" type="#_x0000_t202" style="position:absolute;left:0pt;margin-left:472.85pt;margin-top:4.4pt;height:21.75pt;width:56.25pt;z-index:251671552;mso-width-relative:page;mso-height-relative:page;" fillcolor="#FFFFFF [3201]" filled="t" stroked="t" coordsize="21600,21600" o:gfxdata="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13&#10;rLzWAAAACQEAAA8AAAAAAAAAAQAgAAAAIgAAAGRycy9kb3ducmV2LnhtbFBLAQIUABQAAAAIAIdO&#10;4kDRg7dwXgIAAL4EAAAOAAAAAAAAAAEAIAAAACUBAABkcnMvZTJvRG9jLnhtbFBLBQYAAAAABgAG&#10;AFkBAAD1BQAAAAA=&#10;">
                <v:fill on="t" focussize="0,0"/>
                <v:stroke weight="0.5pt" color="#000000" joinstyle="round"/>
                <v:imagedata o:title=""/>
                <o:lock v:ext="edit" aspectratio="f"/>
                <v:textbox>
                  <w:txbxContent>
                    <w:p>
                      <w:r>
                        <w:rPr>
                          <w:rFonts w:hint="eastAsia"/>
                        </w:rPr>
                        <w:t>沉淀池</w:t>
                      </w:r>
                    </w:p>
                  </w:txbxContent>
                </v:textbox>
              </v:shape>
            </w:pict>
          </mc:Fallback>
        </mc:AlternateContent>
      </w:r>
    </w:p>
    <w:p>
      <w:pPr>
        <w:tabs>
          <w:tab w:val="left" w:pos="5115"/>
        </w:tabs>
        <w:rPr>
          <w:rFonts w:ascii="Times New Roman" w:hAnsi="Times New Roman" w:eastAsia="宋体"/>
          <w:sz w:val="28"/>
          <w:szCs w:val="28"/>
        </w:rPr>
      </w:pPr>
      <w:r>
        <w:rPr>
          <w:rFonts w:hint="eastAsia" w:ascii="Times New Roman" w:hAnsi="Times New Roman" w:eastAsia="宋体"/>
          <w:b/>
          <w:bCs/>
          <w:sz w:val="28"/>
          <w:szCs w:val="28"/>
        </w:rPr>
        <mc:AlternateContent>
          <mc:Choice Requires="wps">
            <w:drawing>
              <wp:anchor distT="0" distB="0" distL="114300" distR="114300" simplePos="0" relativeHeight="251675648" behindDoc="0" locked="0" layoutInCell="1" allowOverlap="1">
                <wp:simplePos x="0" y="0"/>
                <wp:positionH relativeFrom="column">
                  <wp:posOffset>7233920</wp:posOffset>
                </wp:positionH>
                <wp:positionV relativeFrom="paragraph">
                  <wp:posOffset>316865</wp:posOffset>
                </wp:positionV>
                <wp:extent cx="1419225" cy="276225"/>
                <wp:effectExtent l="0" t="0" r="0" b="0"/>
                <wp:wrapNone/>
                <wp:docPr id="1075410773" name="文本框 6"/>
                <wp:cNvGraphicFramePr/>
                <a:graphic xmlns:a="http://schemas.openxmlformats.org/drawingml/2006/main">
                  <a:graphicData uri="http://schemas.microsoft.com/office/word/2010/wordprocessingShape">
                    <wps:wsp>
                      <wps:cNvSpPr txBox="1"/>
                      <wps:spPr>
                        <a:xfrm>
                          <a:off x="0" y="0"/>
                          <a:ext cx="1419225" cy="276225"/>
                        </a:xfrm>
                        <a:prstGeom prst="rect">
                          <a:avLst/>
                        </a:prstGeom>
                        <a:noFill/>
                        <a:ln w="6350">
                          <a:noFill/>
                        </a:ln>
                      </wps:spPr>
                      <wps:txbx>
                        <w:txbxContent>
                          <w:p>
                            <w:pPr>
                              <w:jc w:val="center"/>
                            </w:pPr>
                            <w:r>
                              <w:rPr>
                                <w:rFonts w:hint="eastAsia"/>
                              </w:rPr>
                              <w:t>出厂道路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6" o:spt="202" type="#_x0000_t202" style="position:absolute;left:0pt;margin-left:569.6pt;margin-top:24.95pt;height:21.75pt;width:111.75pt;z-index:251675648;mso-width-relative:page;mso-height-relative:page;" filled="f" stroked="f" coordsize="21600,21600" o:gfxdata="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PblsPbAAAACwEAAA8AAAAAAAAAAQAgAAAA&#10;IgAAAGRycy9kb3ducmV2LnhtbFBLAQIUABQAAAAIAIdO4kCQcpn6QQIAAG8EAAAOAAAAAAAAAAEA&#10;IAAAACoBAABkcnMvZTJvRG9jLnhtbFBLBQYAAAAABgAGAFkBAADdBQAAAAA=&#10;">
                <v:fill on="f" focussize="0,0"/>
                <v:stroke on="f" weight="0.5pt"/>
                <v:imagedata o:title=""/>
                <o:lock v:ext="edit" aspectratio="f"/>
                <v:textbox>
                  <w:txbxContent>
                    <w:p>
                      <w:pPr>
                        <w:jc w:val="center"/>
                      </w:pPr>
                      <w:r>
                        <w:rPr>
                          <w:rFonts w:hint="eastAsia"/>
                        </w:rPr>
                        <w:t>出厂道路</w:t>
                      </w:r>
                    </w:p>
                  </w:txbxContent>
                </v:textbox>
              </v:shape>
            </w:pict>
          </mc:Fallback>
        </mc:AlternateContent>
      </w:r>
      <w:r>
        <w:rPr>
          <w:rFonts w:ascii="Times New Roman" w:hAnsi="Times New Roman" w:eastAsia="宋体"/>
          <w:sz w:val="28"/>
          <w:szCs w:val="28"/>
        </w:rPr>
        <mc:AlternateContent>
          <mc:Choice Requires="wps">
            <w:drawing>
              <wp:anchor distT="0" distB="0" distL="114300" distR="114300" simplePos="0" relativeHeight="251674624" behindDoc="0" locked="0" layoutInCell="1" allowOverlap="1">
                <wp:simplePos x="0" y="0"/>
                <wp:positionH relativeFrom="column">
                  <wp:posOffset>7138670</wp:posOffset>
                </wp:positionH>
                <wp:positionV relativeFrom="paragraph">
                  <wp:posOffset>621665</wp:posOffset>
                </wp:positionV>
                <wp:extent cx="1314450" cy="133350"/>
                <wp:effectExtent l="1905" t="6350" r="17145" b="12700"/>
                <wp:wrapNone/>
                <wp:docPr id="1066486463" name="任意多边形: 形状 7"/>
                <wp:cNvGraphicFramePr/>
                <a:graphic xmlns:a="http://schemas.openxmlformats.org/drawingml/2006/main">
                  <a:graphicData uri="http://schemas.microsoft.com/office/word/2010/wordprocessingShape">
                    <wps:wsp>
                      <wps:cNvSpPr/>
                      <wps:spPr>
                        <a:xfrm>
                          <a:off x="0" y="0"/>
                          <a:ext cx="1314450" cy="133350"/>
                        </a:xfrm>
                        <a:custGeom>
                          <a:avLst/>
                          <a:gdLst>
                            <a:gd name="connsiteX0" fmla="*/ 0 w 1314450"/>
                            <a:gd name="connsiteY0" fmla="*/ 28575 h 133350"/>
                            <a:gd name="connsiteX1" fmla="*/ 104775 w 1314450"/>
                            <a:gd name="connsiteY1" fmla="*/ 57150 h 133350"/>
                            <a:gd name="connsiteX2" fmla="*/ 190500 w 1314450"/>
                            <a:gd name="connsiteY2" fmla="*/ 85725 h 133350"/>
                            <a:gd name="connsiteX3" fmla="*/ 257175 w 1314450"/>
                            <a:gd name="connsiteY3" fmla="*/ 104775 h 133350"/>
                            <a:gd name="connsiteX4" fmla="*/ 352425 w 1314450"/>
                            <a:gd name="connsiteY4" fmla="*/ 133350 h 133350"/>
                            <a:gd name="connsiteX5" fmla="*/ 523875 w 1314450"/>
                            <a:gd name="connsiteY5" fmla="*/ 114300 h 133350"/>
                            <a:gd name="connsiteX6" fmla="*/ 619125 w 1314450"/>
                            <a:gd name="connsiteY6" fmla="*/ 76200 h 133350"/>
                            <a:gd name="connsiteX7" fmla="*/ 666750 w 1314450"/>
                            <a:gd name="connsiteY7" fmla="*/ 57150 h 133350"/>
                            <a:gd name="connsiteX8" fmla="*/ 733425 w 1314450"/>
                            <a:gd name="connsiteY8" fmla="*/ 28575 h 133350"/>
                            <a:gd name="connsiteX9" fmla="*/ 762000 w 1314450"/>
                            <a:gd name="connsiteY9" fmla="*/ 19050 h 133350"/>
                            <a:gd name="connsiteX10" fmla="*/ 914400 w 1314450"/>
                            <a:gd name="connsiteY10" fmla="*/ 0 h 133350"/>
                            <a:gd name="connsiteX11" fmla="*/ 1314450 w 1314450"/>
                            <a:gd name="connsiteY11" fmla="*/ 19050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14450" h="133350">
                              <a:moveTo>
                                <a:pt x="0" y="28575"/>
                              </a:moveTo>
                              <a:cubicBezTo>
                                <a:pt x="34925" y="38100"/>
                                <a:pt x="70101" y="46748"/>
                                <a:pt x="104775" y="57150"/>
                              </a:cubicBezTo>
                              <a:cubicBezTo>
                                <a:pt x="133625" y="65805"/>
                                <a:pt x="161750" y="76741"/>
                                <a:pt x="190500" y="85725"/>
                              </a:cubicBezTo>
                              <a:cubicBezTo>
                                <a:pt x="212562" y="92619"/>
                                <a:pt x="235083" y="97977"/>
                                <a:pt x="257175" y="104775"/>
                              </a:cubicBezTo>
                              <a:cubicBezTo>
                                <a:pt x="357664" y="135695"/>
                                <a:pt x="274687" y="113915"/>
                                <a:pt x="352425" y="133350"/>
                              </a:cubicBezTo>
                              <a:cubicBezTo>
                                <a:pt x="409575" y="127000"/>
                                <a:pt x="467650" y="126348"/>
                                <a:pt x="523875" y="114300"/>
                              </a:cubicBezTo>
                              <a:cubicBezTo>
                                <a:pt x="557312" y="107135"/>
                                <a:pt x="587375" y="88900"/>
                                <a:pt x="619125" y="76200"/>
                              </a:cubicBezTo>
                              <a:lnTo>
                                <a:pt x="666750" y="57150"/>
                              </a:lnTo>
                              <a:cubicBezTo>
                                <a:pt x="689070" y="47850"/>
                                <a:pt x="710486" y="36221"/>
                                <a:pt x="733425" y="28575"/>
                              </a:cubicBezTo>
                              <a:cubicBezTo>
                                <a:pt x="742950" y="25400"/>
                                <a:pt x="752260" y="21485"/>
                                <a:pt x="762000" y="19050"/>
                              </a:cubicBezTo>
                              <a:cubicBezTo>
                                <a:pt x="818237" y="4991"/>
                                <a:pt x="849336" y="5915"/>
                                <a:pt x="914400" y="0"/>
                              </a:cubicBezTo>
                              <a:cubicBezTo>
                                <a:pt x="1149250" y="14678"/>
                                <a:pt x="1015938" y="7569"/>
                                <a:pt x="1314450" y="1905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7" o:spid="_x0000_s1026" o:spt="100" style="position:absolute;left:0pt;margin-left:562.1pt;margin-top:48.95pt;height:10.5pt;width:103.5pt;z-index:251674624;v-text-anchor:middle;mso-width-relative:page;mso-height-relative:page;" filled="f" stroked="t" coordsize="1314450,133350" o:gfxdata="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" path="m0,28575c34925,38100,70101,46748,104775,57150c133625,65805,161750,76741,190500,85725c212562,92619,235083,97977,257175,104775c357664,135695,274687,113915,352425,133350c409575,127000,467650,126348,523875,114300c557312,107135,587375,88900,619125,76200l666750,57150c689070,47850,710486,36221,733425,28575c742950,25400,752260,21485,762000,19050c818237,4991,849336,5915,914400,0c1149250,14678,1015938,7569,1314450,19050e">
                <v:path o:connectlocs="0,28575;104775,57150;190500,85725;257175,104775;352425,133350;523875,114300;619125,76200;666750,57150;733425,28575;762000,19050;914400,0;1314450,19050" o:connectangles="0,0,0,0,0,0,0,0,0,0,0,0"/>
                <v:fill on="f" focussize="0,0"/>
                <v:stroke weight="1pt" color="#172C51 [3204]" miterlimit="8" joinstyle="miter"/>
                <v:imagedata o:title=""/>
                <o:lock v:ext="edit" aspectratio="f"/>
              </v:shape>
            </w:pict>
          </mc:Fallback>
        </mc:AlternateContent>
      </w:r>
      <w:r>
        <w:rPr>
          <w:rFonts w:ascii="Times New Roman" w:hAnsi="Times New Roman" w:eastAsia="宋体"/>
          <w:sz w:val="28"/>
          <w:szCs w:val="28"/>
        </w:rPr>
        <mc:AlternateContent>
          <mc:Choice Requires="wps">
            <w:drawing>
              <wp:anchor distT="0" distB="0" distL="114300" distR="114300" simplePos="0" relativeHeight="251673600" behindDoc="0" locked="0" layoutInCell="1" allowOverlap="1">
                <wp:simplePos x="0" y="0"/>
                <wp:positionH relativeFrom="column">
                  <wp:posOffset>7091045</wp:posOffset>
                </wp:positionH>
                <wp:positionV relativeFrom="paragraph">
                  <wp:posOffset>116840</wp:posOffset>
                </wp:positionV>
                <wp:extent cx="1314450" cy="133350"/>
                <wp:effectExtent l="1905" t="6350" r="17145" b="12700"/>
                <wp:wrapNone/>
                <wp:docPr id="1541456473" name="任意多边形: 形状 7"/>
                <wp:cNvGraphicFramePr/>
                <a:graphic xmlns:a="http://schemas.openxmlformats.org/drawingml/2006/main">
                  <a:graphicData uri="http://schemas.microsoft.com/office/word/2010/wordprocessingShape">
                    <wps:wsp>
                      <wps:cNvSpPr/>
                      <wps:spPr>
                        <a:xfrm>
                          <a:off x="0" y="0"/>
                          <a:ext cx="1314450" cy="133350"/>
                        </a:xfrm>
                        <a:custGeom>
                          <a:avLst/>
                          <a:gdLst>
                            <a:gd name="connsiteX0" fmla="*/ 0 w 1314450"/>
                            <a:gd name="connsiteY0" fmla="*/ 28575 h 133350"/>
                            <a:gd name="connsiteX1" fmla="*/ 104775 w 1314450"/>
                            <a:gd name="connsiteY1" fmla="*/ 57150 h 133350"/>
                            <a:gd name="connsiteX2" fmla="*/ 190500 w 1314450"/>
                            <a:gd name="connsiteY2" fmla="*/ 85725 h 133350"/>
                            <a:gd name="connsiteX3" fmla="*/ 257175 w 1314450"/>
                            <a:gd name="connsiteY3" fmla="*/ 104775 h 133350"/>
                            <a:gd name="connsiteX4" fmla="*/ 352425 w 1314450"/>
                            <a:gd name="connsiteY4" fmla="*/ 133350 h 133350"/>
                            <a:gd name="connsiteX5" fmla="*/ 523875 w 1314450"/>
                            <a:gd name="connsiteY5" fmla="*/ 114300 h 133350"/>
                            <a:gd name="connsiteX6" fmla="*/ 619125 w 1314450"/>
                            <a:gd name="connsiteY6" fmla="*/ 76200 h 133350"/>
                            <a:gd name="connsiteX7" fmla="*/ 666750 w 1314450"/>
                            <a:gd name="connsiteY7" fmla="*/ 57150 h 133350"/>
                            <a:gd name="connsiteX8" fmla="*/ 733425 w 1314450"/>
                            <a:gd name="connsiteY8" fmla="*/ 28575 h 133350"/>
                            <a:gd name="connsiteX9" fmla="*/ 762000 w 1314450"/>
                            <a:gd name="connsiteY9" fmla="*/ 19050 h 133350"/>
                            <a:gd name="connsiteX10" fmla="*/ 914400 w 1314450"/>
                            <a:gd name="connsiteY10" fmla="*/ 0 h 133350"/>
                            <a:gd name="connsiteX11" fmla="*/ 1314450 w 1314450"/>
                            <a:gd name="connsiteY11" fmla="*/ 19050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14450" h="133350">
                              <a:moveTo>
                                <a:pt x="0" y="28575"/>
                              </a:moveTo>
                              <a:cubicBezTo>
                                <a:pt x="34925" y="38100"/>
                                <a:pt x="70101" y="46748"/>
                                <a:pt x="104775" y="57150"/>
                              </a:cubicBezTo>
                              <a:cubicBezTo>
                                <a:pt x="133625" y="65805"/>
                                <a:pt x="161750" y="76741"/>
                                <a:pt x="190500" y="85725"/>
                              </a:cubicBezTo>
                              <a:cubicBezTo>
                                <a:pt x="212562" y="92619"/>
                                <a:pt x="235083" y="97977"/>
                                <a:pt x="257175" y="104775"/>
                              </a:cubicBezTo>
                              <a:cubicBezTo>
                                <a:pt x="357664" y="135695"/>
                                <a:pt x="274687" y="113915"/>
                                <a:pt x="352425" y="133350"/>
                              </a:cubicBezTo>
                              <a:cubicBezTo>
                                <a:pt x="409575" y="127000"/>
                                <a:pt x="467650" y="126348"/>
                                <a:pt x="523875" y="114300"/>
                              </a:cubicBezTo>
                              <a:cubicBezTo>
                                <a:pt x="557312" y="107135"/>
                                <a:pt x="587375" y="88900"/>
                                <a:pt x="619125" y="76200"/>
                              </a:cubicBezTo>
                              <a:lnTo>
                                <a:pt x="666750" y="57150"/>
                              </a:lnTo>
                              <a:cubicBezTo>
                                <a:pt x="689070" y="47850"/>
                                <a:pt x="710486" y="36221"/>
                                <a:pt x="733425" y="28575"/>
                              </a:cubicBezTo>
                              <a:cubicBezTo>
                                <a:pt x="742950" y="25400"/>
                                <a:pt x="752260" y="21485"/>
                                <a:pt x="762000" y="19050"/>
                              </a:cubicBezTo>
                              <a:cubicBezTo>
                                <a:pt x="818237" y="4991"/>
                                <a:pt x="849336" y="5915"/>
                                <a:pt x="914400" y="0"/>
                              </a:cubicBezTo>
                              <a:cubicBezTo>
                                <a:pt x="1149250" y="14678"/>
                                <a:pt x="1015938" y="7569"/>
                                <a:pt x="1314450" y="1905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7" o:spid="_x0000_s1026" o:spt="100" style="position:absolute;left:0pt;margin-left:558.35pt;margin-top:9.2pt;height:10.5pt;width:103.5pt;z-index:251673600;v-text-anchor:middle;mso-width-relative:page;mso-height-relative:page;" filled="f" stroked="t" coordsize="1314450,133350" o:gfxdata="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" path="m0,28575c34925,38100,70101,46748,104775,57150c133625,65805,161750,76741,190500,85725c212562,92619,235083,97977,257175,104775c357664,135695,274687,113915,352425,133350c409575,127000,467650,126348,523875,114300c557312,107135,587375,88900,619125,76200l666750,57150c689070,47850,710486,36221,733425,28575c742950,25400,752260,21485,762000,19050c818237,4991,849336,5915,914400,0c1149250,14678,1015938,7569,1314450,19050e">
                <v:path o:connectlocs="0,28575;104775,57150;190500,85725;257175,104775;352425,133350;523875,114300;619125,76200;666750,57150;733425,28575;762000,19050;914400,0;1314450,19050" o:connectangles="0,0,0,0,0,0,0,0,0,0,0,0"/>
                <v:fill on="f" focussize="0,0"/>
                <v:stroke weight="1pt" color="#172C51 [3204]" miterlimit="8" joinstyle="miter"/>
                <v:imagedata o:title=""/>
                <o:lock v:ext="edit" aspectratio="f"/>
              </v:shape>
            </w:pict>
          </mc:Fallback>
        </mc:AlternateContent>
      </w:r>
      <w:r>
        <w:rPr>
          <w:rFonts w:ascii="Times New Roman" w:hAnsi="Times New Roman" w:eastAsia="宋体"/>
          <w:sz w:val="28"/>
          <w:szCs w:val="28"/>
        </w:rPr>
        <mc:AlternateContent>
          <mc:Choice Requires="wps">
            <w:drawing>
              <wp:anchor distT="0" distB="0" distL="114300" distR="114300" simplePos="0" relativeHeight="251670528" behindDoc="0" locked="0" layoutInCell="1" allowOverlap="1">
                <wp:simplePos x="0" y="0"/>
                <wp:positionH relativeFrom="column">
                  <wp:posOffset>5481320</wp:posOffset>
                </wp:positionH>
                <wp:positionV relativeFrom="paragraph">
                  <wp:posOffset>40640</wp:posOffset>
                </wp:positionV>
                <wp:extent cx="1476375" cy="514350"/>
                <wp:effectExtent l="4445" t="4445" r="5080" b="14605"/>
                <wp:wrapNone/>
                <wp:docPr id="428139618" name="文本框 5"/>
                <wp:cNvGraphicFramePr/>
                <a:graphic xmlns:a="http://schemas.openxmlformats.org/drawingml/2006/main">
                  <a:graphicData uri="http://schemas.microsoft.com/office/word/2010/wordprocessingShape">
                    <wps:wsp>
                      <wps:cNvSpPr txBox="1"/>
                      <wps:spPr>
                        <a:xfrm>
                          <a:off x="0" y="0"/>
                          <a:ext cx="1476375" cy="514350"/>
                        </a:xfrm>
                        <a:prstGeom prst="rect">
                          <a:avLst/>
                        </a:prstGeom>
                        <a:solidFill>
                          <a:schemeClr val="lt1"/>
                        </a:solidFill>
                        <a:ln w="6350">
                          <a:solidFill>
                            <a:prstClr val="black"/>
                          </a:solidFill>
                        </a:ln>
                      </wps:spPr>
                      <wps:txbx>
                        <w:txbxContent>
                          <w:p>
                            <w:pPr>
                              <w:ind w:firstLine="210" w:firstLineChars="100"/>
                            </w:pPr>
                          </w:p>
                          <w:p>
                            <w:pPr>
                              <w:ind w:firstLine="880" w:firstLineChars="400"/>
                              <w:rPr>
                                <w:sz w:val="22"/>
                              </w:rPr>
                            </w:pPr>
                            <w:r>
                              <w:rPr>
                                <w:rFonts w:hint="eastAsia"/>
                                <w:sz w:val="22"/>
                              </w:rPr>
                              <w:t>地磅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431.6pt;margin-top:3.2pt;height:40.5pt;width:116.25pt;z-index:251670528;mso-width-relative:page;mso-height-relative:page;" fillcolor="#FFFFFF [3201]" filled="t" stroked="t" coordsize="21600,21600" o:gfxdata="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o3LfNYAAAAJAQAADwAAAAAAAAABACAAAAAiAAAAZHJzL2Rvd25yZXYueG1sUEsBAhQAFAAAAAgA&#10;h07iQCDsfSZgAgAAvwQAAA4AAAAAAAAAAQAgAAAAJQEAAGRycy9lMm9Eb2MueG1sUEsFBgAAAAAG&#10;AAYAWQEAAPcFAAAAAA==&#10;">
                <v:fill on="t" focussize="0,0"/>
                <v:stroke weight="0.5pt" color="#000000" joinstyle="round"/>
                <v:imagedata o:title=""/>
                <o:lock v:ext="edit" aspectratio="f"/>
                <v:textbox>
                  <w:txbxContent>
                    <w:p>
                      <w:pPr>
                        <w:ind w:firstLine="210" w:firstLineChars="100"/>
                      </w:pPr>
                    </w:p>
                    <w:p>
                      <w:pPr>
                        <w:ind w:firstLine="880" w:firstLineChars="400"/>
                        <w:rPr>
                          <w:sz w:val="22"/>
                        </w:rPr>
                      </w:pPr>
                      <w:r>
                        <w:rPr>
                          <w:rFonts w:hint="eastAsia"/>
                          <w:sz w:val="22"/>
                        </w:rPr>
                        <w:t>地磅</w:t>
                      </w:r>
                    </w:p>
                  </w:txbxContent>
                </v:textbox>
              </v:shape>
            </w:pict>
          </mc:Fallback>
        </mc:AlternateContent>
      </w:r>
      <w:r>
        <w:rPr>
          <w:rFonts w:ascii="Times New Roman" w:hAnsi="Times New Roman" w:eastAsia="宋体"/>
          <w:sz w:val="28"/>
          <w:szCs w:val="28"/>
        </w:rPr>
        <mc:AlternateContent>
          <mc:Choice Requires="wps">
            <w:drawing>
              <wp:anchor distT="0" distB="0" distL="114300" distR="114300" simplePos="0" relativeHeight="251669504" behindDoc="0" locked="0" layoutInCell="1" allowOverlap="1">
                <wp:simplePos x="0" y="0"/>
                <wp:positionH relativeFrom="column">
                  <wp:posOffset>1699895</wp:posOffset>
                </wp:positionH>
                <wp:positionV relativeFrom="paragraph">
                  <wp:posOffset>3041015</wp:posOffset>
                </wp:positionV>
                <wp:extent cx="5467350" cy="1228725"/>
                <wp:effectExtent l="4445" t="4445" r="14605" b="5080"/>
                <wp:wrapNone/>
                <wp:docPr id="1267717293" name="文本框 4"/>
                <wp:cNvGraphicFramePr/>
                <a:graphic xmlns:a="http://schemas.openxmlformats.org/drawingml/2006/main">
                  <a:graphicData uri="http://schemas.microsoft.com/office/word/2010/wordprocessingShape">
                    <wps:wsp>
                      <wps:cNvSpPr txBox="1"/>
                      <wps:spPr>
                        <a:xfrm>
                          <a:off x="0" y="0"/>
                          <a:ext cx="5467350" cy="1228725"/>
                        </a:xfrm>
                        <a:prstGeom prst="rect">
                          <a:avLst/>
                        </a:prstGeom>
                        <a:solidFill>
                          <a:schemeClr val="lt1"/>
                        </a:solidFill>
                        <a:ln w="6350">
                          <a:solidFill>
                            <a:prstClr val="black"/>
                          </a:solidFill>
                        </a:ln>
                      </wps:spPr>
                      <wps:txbx>
                        <w:txbxContent>
                          <w:p/>
                          <w:p/>
                          <w:p>
                            <w:pPr>
                              <w:jc w:val="center"/>
                              <w:rPr>
                                <w:sz w:val="30"/>
                                <w:szCs w:val="30"/>
                              </w:rPr>
                            </w:pPr>
                            <w:r>
                              <w:rPr>
                                <w:rFonts w:hint="eastAsia"/>
                                <w:sz w:val="30"/>
                                <w:szCs w:val="30"/>
                              </w:rPr>
                              <w:t>堆场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26" o:spt="202" type="#_x0000_t202" style="position:absolute;left:0pt;margin-left:133.85pt;margin-top:239.45pt;height:96.75pt;width:430.5pt;z-index:251669504;mso-width-relative:page;mso-height-relative:page;" fillcolor="#FFFFFF [3201]" filled="t" stroked="t" coordsize="21600,21600" o:gfxdata="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J1tyw2QAAAAwBAAAPAAAAAAAAAAEAIAAAACIAAABkcnMvZG93bnJldi54bWxQSwECFAAUAAAA&#10;CACHTuJAAHG0iF8CAADBBAAADgAAAAAAAAABACAAAAAoAQAAZHJzL2Uyb0RvYy54bWxQSwUGAAAA&#10;AAYABgBZAQAA+QUAAAAA&#10;">
                <v:fill on="t" focussize="0,0"/>
                <v:stroke weight="0.5pt" color="#000000" joinstyle="round"/>
                <v:imagedata o:title=""/>
                <o:lock v:ext="edit" aspectratio="f"/>
                <v:textbox>
                  <w:txbxContent>
                    <w:p/>
                    <w:p/>
                    <w:p>
                      <w:pPr>
                        <w:jc w:val="center"/>
                        <w:rPr>
                          <w:sz w:val="30"/>
                          <w:szCs w:val="30"/>
                        </w:rPr>
                      </w:pPr>
                      <w:r>
                        <w:rPr>
                          <w:rFonts w:hint="eastAsia"/>
                          <w:sz w:val="30"/>
                          <w:szCs w:val="30"/>
                        </w:rPr>
                        <w:t>堆场</w:t>
                      </w:r>
                    </w:p>
                  </w:txbxContent>
                </v:textbox>
              </v:shape>
            </w:pict>
          </mc:Fallback>
        </mc:AlternateContent>
      </w:r>
      <w:r>
        <w:rPr>
          <w:rFonts w:ascii="Times New Roman" w:hAnsi="Times New Roman" w:eastAsia="宋体"/>
          <w:sz w:val="28"/>
          <w:szCs w:val="28"/>
        </w:rPr>
        <mc:AlternateContent>
          <mc:Choice Requires="wps">
            <w:drawing>
              <wp:anchor distT="0" distB="0" distL="114300" distR="114300" simplePos="0" relativeHeight="251668480" behindDoc="0" locked="0" layoutInCell="1" allowOverlap="1">
                <wp:simplePos x="0" y="0"/>
                <wp:positionH relativeFrom="column">
                  <wp:posOffset>23495</wp:posOffset>
                </wp:positionH>
                <wp:positionV relativeFrom="paragraph">
                  <wp:posOffset>97790</wp:posOffset>
                </wp:positionV>
                <wp:extent cx="1276350" cy="3486150"/>
                <wp:effectExtent l="4445" t="4445" r="14605" b="14605"/>
                <wp:wrapNone/>
                <wp:docPr id="1554722563" name="文本框 2"/>
                <wp:cNvGraphicFramePr/>
                <a:graphic xmlns:a="http://schemas.openxmlformats.org/drawingml/2006/main">
                  <a:graphicData uri="http://schemas.microsoft.com/office/word/2010/wordprocessingShape">
                    <wps:wsp>
                      <wps:cNvSpPr txBox="1"/>
                      <wps:spPr>
                        <a:xfrm>
                          <a:off x="0" y="0"/>
                          <a:ext cx="1276350" cy="3486150"/>
                        </a:xfrm>
                        <a:prstGeom prst="rect">
                          <a:avLst/>
                        </a:prstGeom>
                        <a:solidFill>
                          <a:schemeClr val="lt1"/>
                        </a:solidFill>
                        <a:ln w="6350">
                          <a:solidFill>
                            <a:prstClr val="black"/>
                          </a:solidFill>
                        </a:ln>
                      </wps:spPr>
                      <wps:txbx>
                        <w:txbxContent>
                          <w:p/>
                          <w:p/>
                          <w:p/>
                          <w:p/>
                          <w:p/>
                          <w:p/>
                          <w:p/>
                          <w:p/>
                          <w:p>
                            <w:pPr>
                              <w:jc w:val="center"/>
                              <w:rPr>
                                <w:sz w:val="30"/>
                                <w:szCs w:val="30"/>
                              </w:rPr>
                            </w:pPr>
                            <w:r>
                              <w:rPr>
                                <w:rFonts w:hint="eastAsia"/>
                                <w:sz w:val="30"/>
                                <w:szCs w:val="30"/>
                              </w:rPr>
                              <w:t>堆场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1.85pt;margin-top:7.7pt;height:274.5pt;width:100.5pt;z-index:251668480;mso-width-relative:page;mso-height-relative:page;" fillcolor="#FFFFFF [3201]" filled="t" stroked="t" coordsize="21600,21600" o:gfxdata="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vsvNI&#10;1QAAAAgBAAAPAAAAAAAAAAEAIAAAACIAAABkcnMvZG93bnJldi54bWxQSwECFAAUAAAACACHTuJA&#10;o79gKV0CAADBBAAADgAAAAAAAAABACAAAAAkAQAAZHJzL2Uyb0RvYy54bWxQSwUGAAAAAAYABgBZ&#10;AQAA8wUAAAAA&#10;">
                <v:fill on="t" focussize="0,0"/>
                <v:stroke weight="0.5pt" color="#000000" joinstyle="round"/>
                <v:imagedata o:title=""/>
                <o:lock v:ext="edit" aspectratio="f"/>
                <v:textbox>
                  <w:txbxContent>
                    <w:p/>
                    <w:p/>
                    <w:p/>
                    <w:p/>
                    <w:p/>
                    <w:p/>
                    <w:p/>
                    <w:p/>
                    <w:p>
                      <w:pPr>
                        <w:jc w:val="center"/>
                        <w:rPr>
                          <w:sz w:val="30"/>
                          <w:szCs w:val="30"/>
                        </w:rPr>
                      </w:pPr>
                      <w:r>
                        <w:rPr>
                          <w:rFonts w:hint="eastAsia"/>
                          <w:sz w:val="30"/>
                          <w:szCs w:val="30"/>
                        </w:rPr>
                        <w:t>堆场</w:t>
                      </w:r>
                    </w:p>
                  </w:txbxContent>
                </v:textbox>
              </v:shape>
            </w:pict>
          </mc:Fallback>
        </mc:AlternateContent>
      </w:r>
      <w:r>
        <w:rPr>
          <w:rFonts w:ascii="Times New Roman" w:hAnsi="Times New Roman" w:eastAsia="宋体"/>
          <w:sz w:val="28"/>
          <w:szCs w:val="28"/>
        </w:rPr>
        <w:tab/>
      </w:r>
    </w:p>
    <w:p>
      <w:pPr>
        <w:rPr>
          <w:rFonts w:ascii="Times New Roman" w:hAnsi="Times New Roman" w:eastAsia="宋体"/>
          <w:sz w:val="28"/>
          <w:szCs w:val="28"/>
        </w:rPr>
      </w:pPr>
    </w:p>
    <w:p>
      <w:pPr>
        <w:rPr>
          <w:rFonts w:ascii="Times New Roman" w:hAnsi="Times New Roman" w:eastAsia="宋体"/>
          <w:sz w:val="28"/>
          <w:szCs w:val="28"/>
        </w:rPr>
      </w:pPr>
    </w:p>
    <w:p>
      <w:pPr>
        <w:rPr>
          <w:rFonts w:ascii="Times New Roman" w:hAnsi="Times New Roman" w:eastAsia="宋体"/>
          <w:sz w:val="28"/>
          <w:szCs w:val="28"/>
        </w:rPr>
      </w:pPr>
    </w:p>
    <w:p>
      <w:pPr>
        <w:rPr>
          <w:rFonts w:ascii="Times New Roman" w:hAnsi="Times New Roman" w:eastAsia="宋体"/>
          <w:sz w:val="28"/>
          <w:szCs w:val="28"/>
        </w:rPr>
      </w:pPr>
    </w:p>
    <w:p>
      <w:pPr>
        <w:rPr>
          <w:rFonts w:ascii="Times New Roman" w:hAnsi="Times New Roman" w:eastAsia="宋体"/>
          <w:sz w:val="28"/>
          <w:szCs w:val="28"/>
        </w:rPr>
      </w:pPr>
    </w:p>
    <w:p>
      <w:pPr>
        <w:rPr>
          <w:rFonts w:ascii="Times New Roman" w:hAnsi="Times New Roman" w:eastAsia="宋体"/>
          <w:sz w:val="28"/>
          <w:szCs w:val="28"/>
        </w:rPr>
      </w:pPr>
      <w:r>
        <w:rPr>
          <w:rFonts w:ascii="Times New Roman" w:hAnsi="Times New Roman" w:eastAsia="宋体"/>
          <w:sz w:val="28"/>
          <w:szCs w:val="28"/>
        </w:rPr>
        <mc:AlternateContent>
          <mc:Choice Requires="wps">
            <w:drawing>
              <wp:anchor distT="0" distB="0" distL="114300" distR="114300" simplePos="0" relativeHeight="251683840" behindDoc="0" locked="0" layoutInCell="1" allowOverlap="1">
                <wp:simplePos x="0" y="0"/>
                <wp:positionH relativeFrom="column">
                  <wp:posOffset>1699260</wp:posOffset>
                </wp:positionH>
                <wp:positionV relativeFrom="paragraph">
                  <wp:posOffset>25400</wp:posOffset>
                </wp:positionV>
                <wp:extent cx="3286125" cy="0"/>
                <wp:effectExtent l="0" t="38100" r="9525" b="38100"/>
                <wp:wrapNone/>
                <wp:docPr id="310841723" name="直接箭头连接符 3"/>
                <wp:cNvGraphicFramePr/>
                <a:graphic xmlns:a="http://schemas.openxmlformats.org/drawingml/2006/main">
                  <a:graphicData uri="http://schemas.microsoft.com/office/word/2010/wordprocessingShape">
                    <wps:wsp>
                      <wps:cNvCnPr/>
                      <wps:spPr>
                        <a:xfrm>
                          <a:off x="0" y="0"/>
                          <a:ext cx="3286125"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3" o:spid="_x0000_s1026" o:spt="32" type="#_x0000_t32" style="position:absolute;left:0pt;margin-left:133.8pt;margin-top:2pt;height:0pt;width:258.75pt;z-index:251683840;mso-width-relative:page;mso-height-relative:page;" filled="f" stroked="t" coordsize="21600,21600" o:gfxdata="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f6y59cAAAAHAQAADwAAAAAAAAABACAA&#10;AAAiAAAAZHJzL2Rvd25yZXYueG1sUEsBAhQAFAAAAAgAh07iQA+wYFgOAgAA6QMAAA4AAAAAAAAA&#10;AQAgAAAAJgEAAGRycy9lMm9Eb2MueG1sUEsFBgAAAAAGAAYAWQEAAKYFAAAAAA==&#10;">
                <v:fill on="f" focussize="0,0"/>
                <v:stroke weight="0.5pt" color="#00B050 [3204]" miterlimit="8" joinstyle="miter" endarrow="block"/>
                <v:imagedata o:title=""/>
                <o:lock v:ext="edit" aspectratio="f"/>
              </v:shape>
            </w:pict>
          </mc:Fallback>
        </mc:AlternateContent>
      </w:r>
    </w:p>
    <w:p>
      <w:pPr>
        <w:rPr>
          <w:rFonts w:ascii="Times New Roman" w:hAnsi="Times New Roman" w:eastAsia="宋体"/>
          <w:sz w:val="28"/>
          <w:szCs w:val="28"/>
        </w:rPr>
      </w:pPr>
      <w:r>
        <w:rPr>
          <w:rFonts w:ascii="Times New Roman" w:hAnsi="Times New Roman" w:eastAsia="宋体"/>
          <w:sz w:val="28"/>
          <w:szCs w:val="28"/>
        </w:rPr>
        <mc:AlternateContent>
          <mc:Choice Requires="wps">
            <w:drawing>
              <wp:anchor distT="0" distB="0" distL="114300" distR="114300" simplePos="0" relativeHeight="251687936" behindDoc="0" locked="0" layoutInCell="1" allowOverlap="1">
                <wp:simplePos x="0" y="0"/>
                <wp:positionH relativeFrom="column">
                  <wp:posOffset>7472045</wp:posOffset>
                </wp:positionH>
                <wp:positionV relativeFrom="paragraph">
                  <wp:posOffset>391160</wp:posOffset>
                </wp:positionV>
                <wp:extent cx="1495425" cy="1104900"/>
                <wp:effectExtent l="4445" t="4445" r="5080" b="14605"/>
                <wp:wrapNone/>
                <wp:docPr id="48478883" name="文本框 7"/>
                <wp:cNvGraphicFramePr/>
                <a:graphic xmlns:a="http://schemas.openxmlformats.org/drawingml/2006/main">
                  <a:graphicData uri="http://schemas.microsoft.com/office/word/2010/wordprocessingShape">
                    <wps:wsp>
                      <wps:cNvSpPr txBox="1"/>
                      <wps:spPr>
                        <a:xfrm>
                          <a:off x="0" y="0"/>
                          <a:ext cx="1495425" cy="1104900"/>
                        </a:xfrm>
                        <a:prstGeom prst="rect">
                          <a:avLst/>
                        </a:prstGeom>
                        <a:solidFill>
                          <a:schemeClr val="lt1"/>
                        </a:solidFill>
                        <a:ln w="6350">
                          <a:solidFill>
                            <a:prstClr val="black"/>
                          </a:solidFill>
                        </a:ln>
                      </wps:spPr>
                      <wps:txbx>
                        <w:txbxContent>
                          <w:p>
                            <w:pPr>
                              <w:jc w:val="center"/>
                              <w:rPr>
                                <w:b/>
                                <w:bCs/>
                              </w:rPr>
                            </w:pPr>
                            <w:r>
                              <w:rPr>
                                <w:rFonts w:hint="eastAsia"/>
                                <w:b/>
                                <w:bCs/>
                              </w:rPr>
                              <w:t>图例</w:t>
                            </w:r>
                          </w:p>
                          <w:p/>
                          <w:p>
                            <w:r>
                              <w:rPr>
                                <w:rFonts w:hint="eastAsia"/>
                              </w:rPr>
                              <w:t>雨水路径</w:t>
                            </w:r>
                          </w:p>
                          <w:p/>
                          <w:p>
                            <w:pPr>
                              <w:rPr>
                                <w:rFonts w:hint="eastAsia"/>
                              </w:rPr>
                            </w:pPr>
                            <w:r>
                              <w:rPr>
                                <w:rFonts w:hint="eastAsia"/>
                              </w:rPr>
                              <w:t>污水路径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6" o:spt="202" type="#_x0000_t202" style="position:absolute;left:0pt;margin-left:588.35pt;margin-top:30.8pt;height:87pt;width:117.75pt;z-index:251687936;mso-width-relative:page;mso-height-relative:page;" fillcolor="#FFFFFF [3201]" filled="t" stroked="t" coordsize="21600,21600" o:gfxdata="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L6V6NcAAAAMAQAADwAAAAAAAAABACAAAAAiAAAAZHJzL2Rvd25yZXYueG1sUEsBAhQAFAAA&#10;AAgAh07iQGUeIsJiAgAAvwQAAA4AAAAAAAAAAQAgAAAAJgEAAGRycy9lMm9Eb2MueG1sUEsFBgAA&#10;AAAGAAYAWQEAAPoFAAAAAA==&#10;">
                <v:fill on="t" focussize="0,0"/>
                <v:stroke weight="0.5pt" color="#000000" joinstyle="round"/>
                <v:imagedata o:title=""/>
                <o:lock v:ext="edit" aspectratio="f"/>
                <v:textbox>
                  <w:txbxContent>
                    <w:p>
                      <w:pPr>
                        <w:jc w:val="center"/>
                        <w:rPr>
                          <w:b/>
                          <w:bCs/>
                        </w:rPr>
                      </w:pPr>
                      <w:r>
                        <w:rPr>
                          <w:rFonts w:hint="eastAsia"/>
                          <w:b/>
                          <w:bCs/>
                        </w:rPr>
                        <w:t>图例</w:t>
                      </w:r>
                    </w:p>
                    <w:p/>
                    <w:p>
                      <w:r>
                        <w:rPr>
                          <w:rFonts w:hint="eastAsia"/>
                        </w:rPr>
                        <w:t>雨水路径</w:t>
                      </w:r>
                    </w:p>
                    <w:p/>
                    <w:p>
                      <w:pPr>
                        <w:rPr>
                          <w:rFonts w:hint="eastAsia"/>
                        </w:rPr>
                      </w:pPr>
                      <w:r>
                        <w:rPr>
                          <w:rFonts w:hint="eastAsia"/>
                        </w:rPr>
                        <w:t>污水路径</w:t>
                      </w:r>
                    </w:p>
                  </w:txbxContent>
                </v:textbox>
              </v:shape>
            </w:pict>
          </mc:Fallback>
        </mc:AlternateContent>
      </w:r>
    </w:p>
    <w:p>
      <w:pPr>
        <w:rPr>
          <w:rFonts w:ascii="Times New Roman" w:hAnsi="Times New Roman" w:eastAsia="宋体"/>
          <w:sz w:val="28"/>
          <w:szCs w:val="28"/>
        </w:rPr>
      </w:pPr>
    </w:p>
    <w:p>
      <w:pPr>
        <w:rPr>
          <w:rFonts w:ascii="Times New Roman" w:hAnsi="Times New Roman" w:eastAsia="宋体"/>
          <w:sz w:val="28"/>
          <w:szCs w:val="28"/>
        </w:rPr>
      </w:pPr>
      <w:r>
        <w:rPr>
          <w:rFonts w:ascii="Times New Roman" w:hAnsi="Times New Roman" w:eastAsia="宋体"/>
          <w:sz w:val="28"/>
          <w:szCs w:val="28"/>
        </w:rPr>
        <mc:AlternateContent>
          <mc:Choice Requires="wps">
            <w:drawing>
              <wp:anchor distT="0" distB="0" distL="114300" distR="114300" simplePos="0" relativeHeight="251688960" behindDoc="0" locked="0" layoutInCell="1" allowOverlap="1">
                <wp:simplePos x="0" y="0"/>
                <wp:positionH relativeFrom="column">
                  <wp:posOffset>8234045</wp:posOffset>
                </wp:positionH>
                <wp:positionV relativeFrom="paragraph">
                  <wp:posOffset>132080</wp:posOffset>
                </wp:positionV>
                <wp:extent cx="419100" cy="0"/>
                <wp:effectExtent l="0" t="38100" r="0" b="38100"/>
                <wp:wrapNone/>
                <wp:docPr id="1808476851" name="直接箭头连接符 8"/>
                <wp:cNvGraphicFramePr/>
                <a:graphic xmlns:a="http://schemas.openxmlformats.org/drawingml/2006/main">
                  <a:graphicData uri="http://schemas.microsoft.com/office/word/2010/wordprocessingShape">
                    <wps:wsp>
                      <wps:cNvCnPr/>
                      <wps:spPr>
                        <a:xfrm>
                          <a:off x="0" y="0"/>
                          <a:ext cx="419100"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8" o:spid="_x0000_s1026" o:spt="32" type="#_x0000_t32" style="position:absolute;left:0pt;margin-left:648.35pt;margin-top:10.4pt;height:0pt;width:33pt;z-index:251688960;mso-width-relative:page;mso-height-relative:page;" filled="f" stroked="t" coordsize="21600,21600" o:gfxdata="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cevHrYAAAACwEAAA8AAAAAAAAAAQAg&#10;AAAAIgAAAGRycy9kb3ducmV2LnhtbFBLAQIUABQAAAAIAIdO4kA5CxjwDgIAAOkDAAAOAAAAAAAA&#10;AAEAIAAAACcBAABkcnMvZTJvRG9jLnhtbFBLBQYAAAAABgAGAFkBAACnBQAAAAA=&#10;">
                <v:fill on="f" focussize="0,0"/>
                <v:stroke weight="0.5pt" color="#00B050 [3204]" miterlimit="8" joinstyle="miter" endarrow="block"/>
                <v:imagedata o:title=""/>
                <o:lock v:ext="edit" aspectratio="f"/>
              </v:shape>
            </w:pict>
          </mc:Fallback>
        </mc:AlternateContent>
      </w:r>
    </w:p>
    <w:p>
      <w:pPr>
        <w:rPr>
          <w:rFonts w:ascii="Times New Roman" w:hAnsi="Times New Roman" w:eastAsia="宋体"/>
          <w:sz w:val="28"/>
          <w:szCs w:val="28"/>
        </w:rPr>
      </w:pPr>
      <w:r>
        <w:rPr>
          <w:rFonts w:ascii="Times New Roman" w:hAnsi="Times New Roman" w:eastAsia="宋体"/>
          <w:sz w:val="28"/>
          <w:szCs w:val="28"/>
        </w:rPr>
        <mc:AlternateContent>
          <mc:Choice Requires="wps">
            <w:drawing>
              <wp:anchor distT="0" distB="0" distL="114300" distR="114300" simplePos="0" relativeHeight="251689984" behindDoc="0" locked="0" layoutInCell="1" allowOverlap="1">
                <wp:simplePos x="0" y="0"/>
                <wp:positionH relativeFrom="column">
                  <wp:posOffset>8176895</wp:posOffset>
                </wp:positionH>
                <wp:positionV relativeFrom="paragraph">
                  <wp:posOffset>135890</wp:posOffset>
                </wp:positionV>
                <wp:extent cx="476250" cy="0"/>
                <wp:effectExtent l="0" t="38100" r="0" b="38100"/>
                <wp:wrapNone/>
                <wp:docPr id="342801254" name="直接箭头连接符 9"/>
                <wp:cNvGraphicFramePr/>
                <a:graphic xmlns:a="http://schemas.openxmlformats.org/drawingml/2006/main">
                  <a:graphicData uri="http://schemas.microsoft.com/office/word/2010/wordprocessingShape">
                    <wps:wsp>
                      <wps:cNvCnPr/>
                      <wps:spPr>
                        <a:xfrm>
                          <a:off x="0" y="0"/>
                          <a:ext cx="47625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9" o:spid="_x0000_s1026" o:spt="32" type="#_x0000_t32" style="position:absolute;left:0pt;margin-left:643.85pt;margin-top:10.7pt;height:0pt;width:37.5pt;z-index:251689984;mso-width-relative:page;mso-height-relative:page;" filled="f" stroked="t" coordsize="21600,21600" o:gfxdata="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YU/N9gAAAALAQAADwAAAAAAAAABACAA&#10;AAAiAAAAZHJzL2Rvd25yZXYueG1sUEsBAhQAFAAAAAgAh07iQNw49dgNAgAA6AMAAA4AAAAAAAAA&#10;AQAgAAAAJwEAAGRycy9lMm9Eb2MueG1sUEsFBgAAAAAGAAYAWQEAAKYFAAAAAA==&#10;">
                <v:fill on="f" focussize="0,0"/>
                <v:stroke weight="0.5pt" color="#FF0000 [3204]" miterlimit="8" joinstyle="miter" endarrow="block"/>
                <v:imagedata o:title=""/>
                <o:lock v:ext="edit" aspectratio="f"/>
              </v:shape>
            </w:pict>
          </mc:Fallback>
        </mc:AlternateContent>
      </w:r>
    </w:p>
    <w:p>
      <w:pPr>
        <w:jc w:val="center"/>
        <w:rPr>
          <w:rFonts w:ascii="Times New Roman" w:hAnsi="Times New Roman" w:eastAsia="宋体"/>
          <w:b/>
          <w:bCs/>
          <w:sz w:val="28"/>
          <w:szCs w:val="28"/>
        </w:rPr>
      </w:pPr>
      <w:r>
        <w:rPr>
          <w:rFonts w:hint="eastAsia" w:ascii="Times New Roman" w:hAnsi="Times New Roman" w:eastAsia="宋体"/>
          <w:b/>
          <w:bCs/>
          <w:sz w:val="28"/>
          <w:szCs w:val="28"/>
        </w:rPr>
        <w:t>附图三 项目平面布置图</w:t>
      </w:r>
    </w:p>
    <w:p>
      <w:pPr>
        <w:rPr>
          <w:rFonts w:ascii="Times New Roman" w:hAnsi="Times New Roman" w:eastAsia="宋体"/>
          <w:sz w:val="28"/>
          <w:szCs w:val="28"/>
        </w:rPr>
      </w:pPr>
      <w:r>
        <w:drawing>
          <wp:anchor distT="0" distB="0" distL="114300" distR="114300" simplePos="0" relativeHeight="251680768" behindDoc="0" locked="0" layoutInCell="1" allowOverlap="1">
            <wp:simplePos x="0" y="0"/>
            <wp:positionH relativeFrom="column">
              <wp:posOffset>6810375</wp:posOffset>
            </wp:positionH>
            <wp:positionV relativeFrom="paragraph">
              <wp:posOffset>3834765</wp:posOffset>
            </wp:positionV>
            <wp:extent cx="2085975" cy="1219200"/>
            <wp:effectExtent l="0" t="0" r="9525" b="0"/>
            <wp:wrapNone/>
            <wp:docPr id="1168310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10836" name="图片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085714" cy="1219048"/>
                    </a:xfrm>
                    <a:prstGeom prst="rect">
                      <a:avLst/>
                    </a:prstGeom>
                  </pic:spPr>
                </pic:pic>
              </a:graphicData>
            </a:graphic>
          </wp:anchor>
        </w:drawing>
      </w:r>
      <w:r>
        <w:rPr>
          <w:rFonts w:hint="eastAsia" w:ascii="Times New Roman" w:hAnsi="Times New Roman" w:eastAsia="宋体"/>
          <w:b/>
          <w:bCs/>
          <w:sz w:val="28"/>
          <w:szCs w:val="28"/>
        </w:rPr>
        <mc:AlternateContent>
          <mc:Choice Requires="wps">
            <w:drawing>
              <wp:anchor distT="0" distB="0" distL="114300" distR="114300" simplePos="0" relativeHeight="251679744" behindDoc="0" locked="0" layoutInCell="1" allowOverlap="1">
                <wp:simplePos x="0" y="0"/>
                <wp:positionH relativeFrom="column">
                  <wp:posOffset>3271520</wp:posOffset>
                </wp:positionH>
                <wp:positionV relativeFrom="paragraph">
                  <wp:posOffset>556895</wp:posOffset>
                </wp:positionV>
                <wp:extent cx="1419225" cy="276225"/>
                <wp:effectExtent l="0" t="0" r="0" b="0"/>
                <wp:wrapNone/>
                <wp:docPr id="586308781" name="文本框 6"/>
                <wp:cNvGraphicFramePr/>
                <a:graphic xmlns:a="http://schemas.openxmlformats.org/drawingml/2006/main">
                  <a:graphicData uri="http://schemas.microsoft.com/office/word/2010/wordprocessingShape">
                    <wps:wsp>
                      <wps:cNvSpPr txBox="1"/>
                      <wps:spPr>
                        <a:xfrm>
                          <a:off x="0" y="0"/>
                          <a:ext cx="1419225" cy="276225"/>
                        </a:xfrm>
                        <a:prstGeom prst="rect">
                          <a:avLst/>
                        </a:prstGeom>
                        <a:noFill/>
                        <a:ln w="6350">
                          <a:noFill/>
                        </a:ln>
                      </wps:spPr>
                      <wps:txbx>
                        <w:txbxContent>
                          <w:p>
                            <w:pPr>
                              <w:jc w:val="center"/>
                              <w:rPr>
                                <w:rFonts w:ascii="宋体" w:hAnsi="宋体" w:eastAsia="宋体"/>
                                <w:b/>
                                <w:bCs/>
                                <w:color w:val="FF0000"/>
                                <w:sz w:val="24"/>
                                <w:szCs w:val="24"/>
                              </w:rPr>
                            </w:pPr>
                            <w:r>
                              <w:rPr>
                                <w:rFonts w:hint="eastAsia" w:ascii="宋体" w:hAnsi="宋体" w:eastAsia="宋体"/>
                                <w:b/>
                                <w:bCs/>
                                <w:color w:val="FF0000"/>
                                <w:sz w:val="24"/>
                                <w:szCs w:val="24"/>
                              </w:rPr>
                              <w:t>桥头河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6" o:spt="202" type="#_x0000_t202" style="position:absolute;left:0pt;margin-left:257.6pt;margin-top:43.85pt;height:21.75pt;width:111.75pt;z-index:251679744;mso-width-relative:page;mso-height-relative:page;" filled="f" stroked="f" coordsize="21600,21600" o:gfxdata="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o1RybbAAAACgEAAA8AAAAAAAAAAQAgAAAA&#10;IgAAAGRycy9kb3ducmV2LnhtbFBLAQIUABQAAAAIAIdO4kC6QGeGQQIAAG4EAAAOAAAAAAAAAAEA&#10;IAAAACoBAABkcnMvZTJvRG9jLnhtbFBLBQYAAAAABgAGAFkBAADdBQAAAAA=&#10;">
                <v:fill on="f" focussize="0,0"/>
                <v:stroke on="f" weight="0.5pt"/>
                <v:imagedata o:title=""/>
                <o:lock v:ext="edit" aspectratio="f"/>
                <v:textbox>
                  <w:txbxContent>
                    <w:p>
                      <w:pPr>
                        <w:jc w:val="center"/>
                        <w:rPr>
                          <w:rFonts w:ascii="宋体" w:hAnsi="宋体" w:eastAsia="宋体"/>
                          <w:b/>
                          <w:bCs/>
                          <w:color w:val="FF0000"/>
                          <w:sz w:val="24"/>
                          <w:szCs w:val="24"/>
                        </w:rPr>
                      </w:pPr>
                      <w:r>
                        <w:rPr>
                          <w:rFonts w:hint="eastAsia" w:ascii="宋体" w:hAnsi="宋体" w:eastAsia="宋体"/>
                          <w:b/>
                          <w:bCs/>
                          <w:color w:val="FF0000"/>
                          <w:sz w:val="24"/>
                          <w:szCs w:val="24"/>
                        </w:rPr>
                        <w:t>桥头河</w:t>
                      </w:r>
                    </w:p>
                  </w:txbxContent>
                </v:textbox>
              </v:shape>
            </w:pict>
          </mc:Fallback>
        </mc:AlternateContent>
      </w:r>
      <w:r>
        <w:drawing>
          <wp:anchor distT="0" distB="0" distL="114300" distR="114300" simplePos="0" relativeHeight="251678720" behindDoc="0" locked="0" layoutInCell="1" allowOverlap="1">
            <wp:simplePos x="0" y="0"/>
            <wp:positionH relativeFrom="column">
              <wp:posOffset>0</wp:posOffset>
            </wp:positionH>
            <wp:positionV relativeFrom="paragraph">
              <wp:posOffset>94615</wp:posOffset>
            </wp:positionV>
            <wp:extent cx="516890" cy="1162050"/>
            <wp:effectExtent l="0" t="0" r="16510" b="0"/>
            <wp:wrapNone/>
            <wp:docPr id="2103660218" name="图片 210366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60218" name="图片 21036602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17112" cy="1162050"/>
                    </a:xfrm>
                    <a:prstGeom prst="rect">
                      <a:avLst/>
                    </a:prstGeom>
                    <a:noFill/>
                    <a:ln>
                      <a:noFill/>
                    </a:ln>
                  </pic:spPr>
                </pic:pic>
              </a:graphicData>
            </a:graphic>
          </wp:anchor>
        </w:drawing>
      </w:r>
      <w:r>
        <w:drawing>
          <wp:inline distT="0" distB="0" distL="0" distR="0">
            <wp:extent cx="8891270" cy="4963160"/>
            <wp:effectExtent l="0" t="0" r="5080" b="8890"/>
            <wp:docPr id="6241622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62252" name="图片 1"/>
                    <pic:cNvPicPr>
                      <a:picLocks noChangeAspect="1"/>
                    </pic:cNvPicPr>
                  </pic:nvPicPr>
                  <pic:blipFill>
                    <a:blip r:embed="rId34"/>
                    <a:stretch>
                      <a:fillRect/>
                    </a:stretch>
                  </pic:blipFill>
                  <pic:spPr>
                    <a:xfrm>
                      <a:off x="0" y="0"/>
                      <a:ext cx="8891270" cy="4963160"/>
                    </a:xfrm>
                    <a:prstGeom prst="rect">
                      <a:avLst/>
                    </a:prstGeom>
                  </pic:spPr>
                </pic:pic>
              </a:graphicData>
            </a:graphic>
          </wp:inline>
        </w:drawing>
      </w:r>
    </w:p>
    <w:p>
      <w:pPr>
        <w:jc w:val="center"/>
        <w:rPr>
          <w:rFonts w:ascii="Times New Roman" w:hAnsi="Times New Roman" w:eastAsia="宋体"/>
          <w:b/>
          <w:bCs/>
          <w:sz w:val="28"/>
          <w:szCs w:val="28"/>
        </w:rPr>
      </w:pPr>
      <w:r>
        <w:rPr>
          <w:rFonts w:hint="eastAsia" w:ascii="Times New Roman" w:hAnsi="Times New Roman" w:eastAsia="宋体"/>
          <w:b/>
          <w:bCs/>
          <w:sz w:val="28"/>
          <w:szCs w:val="28"/>
        </w:rPr>
        <w:t>附图四 环境保护目标示意图</w:t>
      </w:r>
    </w:p>
    <w:p>
      <w:pPr>
        <w:rPr>
          <w:rFonts w:hint="default"/>
          <w:lang w:val="en-US" w:eastAsia="zh-CN"/>
        </w:rPr>
      </w:pPr>
    </w:p>
    <w:p>
      <w:pPr>
        <w:jc w:val="center"/>
      </w:pPr>
      <w:r>
        <w:rPr>
          <w:sz w:val="21"/>
        </w:rPr>
        <mc:AlternateContent>
          <mc:Choice Requires="wps">
            <w:drawing>
              <wp:anchor distT="0" distB="0" distL="114300" distR="114300" simplePos="0" relativeHeight="251697152" behindDoc="0" locked="0" layoutInCell="1" allowOverlap="1">
                <wp:simplePos x="0" y="0"/>
                <wp:positionH relativeFrom="column">
                  <wp:posOffset>1907540</wp:posOffset>
                </wp:positionH>
                <wp:positionV relativeFrom="paragraph">
                  <wp:posOffset>5001260</wp:posOffset>
                </wp:positionV>
                <wp:extent cx="161925" cy="161925"/>
                <wp:effectExtent l="19050" t="21590" r="28575" b="26035"/>
                <wp:wrapNone/>
                <wp:docPr id="16" name="五角星 16"/>
                <wp:cNvGraphicFramePr/>
                <a:graphic xmlns:a="http://schemas.openxmlformats.org/drawingml/2006/main">
                  <a:graphicData uri="http://schemas.microsoft.com/office/word/2010/wordprocessingShape">
                    <wps:wsp>
                      <wps:cNvSpPr/>
                      <wps:spPr>
                        <a:xfrm>
                          <a:off x="0" y="0"/>
                          <a:ext cx="161925" cy="161925"/>
                        </a:xfrm>
                        <a:prstGeom prst="star5">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0.2pt;margin-top:393.8pt;height:12.75pt;width:12.75pt;z-index:251697152;v-text-anchor:middle;mso-width-relative:page;mso-height-relative:page;" fillcolor="#4472C4 [3204]" filled="t" stroked="t" coordsize="161925,161925" o:gfxdata="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jmqcgdwAAAAL&#10;AQAADwAAAAAAAAABACAAAAAiAAAAZHJzL2Rvd25yZXYueG1sUEsBAhQAFAAAAAgAh07iQHH+ciCK&#10;AgAAGwUAAA4AAAAAAAAAAQAgAAAAKwEAAGRycy9lMm9Eb2MueG1sUEsFBgAAAAAGAAYAWQEAACcG&#10;AAAAAA==&#10;" path="m0,61849l61850,61850,80962,0,100074,61850,161924,61849,111886,100074,130999,161924,80962,123698,30925,161924,50038,100074xe">
                <v:path o:connectlocs="80962,0;0,61849;30925,161924;130999,161924;161924,61849" o:connectangles="247,164,82,82,0"/>
                <v:fill on="t" focussize="0,0"/>
                <v:stroke weight="1pt" color="#2F5597 [2404]" miterlimit="8" joinstyle="miter"/>
                <v:imagedata o:title=""/>
                <o:lock v:ext="edit" aspectratio="f"/>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4317365</wp:posOffset>
                </wp:positionH>
                <wp:positionV relativeFrom="paragraph">
                  <wp:posOffset>1915160</wp:posOffset>
                </wp:positionV>
                <wp:extent cx="161925" cy="161925"/>
                <wp:effectExtent l="19050" t="21590" r="28575" b="26035"/>
                <wp:wrapNone/>
                <wp:docPr id="15" name="五角星 15"/>
                <wp:cNvGraphicFramePr/>
                <a:graphic xmlns:a="http://schemas.openxmlformats.org/drawingml/2006/main">
                  <a:graphicData uri="http://schemas.microsoft.com/office/word/2010/wordprocessingShape">
                    <wps:wsp>
                      <wps:cNvSpPr/>
                      <wps:spPr>
                        <a:xfrm>
                          <a:off x="0" y="0"/>
                          <a:ext cx="161925" cy="161925"/>
                        </a:xfrm>
                        <a:prstGeom prst="star5">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39.95pt;margin-top:150.8pt;height:12.75pt;width:12.75pt;z-index:251696128;v-text-anchor:middle;mso-width-relative:page;mso-height-relative:page;" fillcolor="#4472C4 [3204]" filled="t" stroked="t" coordsize="161925,161925" o:gfxdata="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Ph4kMfbAAAACwEA&#10;AA8AAAAAAAAAAQAgAAAAIgAAAGRycy9kb3ducmV2LnhtbFBLAQIUABQAAAAIAIdO4kBr1DpHiQIA&#10;ABsFAAAOAAAAAAAAAAEAIAAAACoBAABkcnMvZTJvRG9jLnhtbFBLBQYAAAAABgAGAFkBAAAlBgAA&#10;AAA=&#10;" path="m0,61849l61850,61850,80962,0,100074,61850,161924,61849,111886,100074,130999,161924,80962,123698,30925,161924,50038,100074xe">
                <v:path o:connectlocs="80962,0;0,61849;30925,161924;130999,161924;161924,61849" o:connectangles="247,164,82,82,0"/>
                <v:fill on="t" focussize="0,0"/>
                <v:stroke weight="1pt" color="#2F5597 [2404]" miterlimit="8" joinstyle="miter"/>
                <v:imagedata o:title=""/>
                <o:lock v:ext="edit" aspectratio="f"/>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5384165</wp:posOffset>
                </wp:positionH>
                <wp:positionV relativeFrom="paragraph">
                  <wp:posOffset>2048510</wp:posOffset>
                </wp:positionV>
                <wp:extent cx="161925" cy="161925"/>
                <wp:effectExtent l="19050" t="21590" r="28575" b="26035"/>
                <wp:wrapNone/>
                <wp:docPr id="14" name="五角星 14"/>
                <wp:cNvGraphicFramePr/>
                <a:graphic xmlns:a="http://schemas.openxmlformats.org/drawingml/2006/main">
                  <a:graphicData uri="http://schemas.microsoft.com/office/word/2010/wordprocessingShape">
                    <wps:wsp>
                      <wps:cNvSpPr/>
                      <wps:spPr>
                        <a:xfrm>
                          <a:off x="0" y="0"/>
                          <a:ext cx="161925" cy="161925"/>
                        </a:xfrm>
                        <a:prstGeom prst="star5">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23.95pt;margin-top:161.3pt;height:12.75pt;width:12.75pt;z-index:251695104;v-text-anchor:middle;mso-width-relative:page;mso-height-relative:page;" fillcolor="#4472C4 [3204]" filled="t" stroked="t" coordsize="161925,161925" o:gfxdata="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TY0nF3AAAAAsB&#10;AAAPAAAAAAAAAAEAIAAAACIAAABkcnMvZG93bnJldi54bWxQSwECFAAUAAAACACHTuJAos8t04kC&#10;AAAbBQAADgAAAAAAAAABACAAAAArAQAAZHJzL2Uyb0RvYy54bWxQSwUGAAAAAAYABgBZAQAAJgYA&#10;AAAA&#10;" path="m0,61849l61850,61850,80962,0,100074,61850,161924,61849,111886,100074,130999,161924,80962,123698,30925,161924,50038,100074xe">
                <v:path o:connectlocs="80962,0;0,61849;30925,161924;130999,161924;161924,61849" o:connectangles="247,164,82,82,0"/>
                <v:fill on="t" focussize="0,0"/>
                <v:stroke weight="1pt" color="#2F5597 [2404]" miterlimit="8" joinstyle="miter"/>
                <v:imagedata o:title=""/>
                <o:lock v:ext="edit" aspectratio="f"/>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5546090</wp:posOffset>
                </wp:positionH>
                <wp:positionV relativeFrom="paragraph">
                  <wp:posOffset>924560</wp:posOffset>
                </wp:positionV>
                <wp:extent cx="161925" cy="161925"/>
                <wp:effectExtent l="19050" t="21590" r="28575" b="26035"/>
                <wp:wrapNone/>
                <wp:docPr id="13" name="五角星 13"/>
                <wp:cNvGraphicFramePr/>
                <a:graphic xmlns:a="http://schemas.openxmlformats.org/drawingml/2006/main">
                  <a:graphicData uri="http://schemas.microsoft.com/office/word/2010/wordprocessingShape">
                    <wps:wsp>
                      <wps:cNvSpPr/>
                      <wps:spPr>
                        <a:xfrm>
                          <a:off x="0" y="0"/>
                          <a:ext cx="161925" cy="161925"/>
                        </a:xfrm>
                        <a:prstGeom prst="star5">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36.7pt;margin-top:72.8pt;height:12.75pt;width:12.75pt;z-index:251694080;v-text-anchor:middle;mso-width-relative:page;mso-height-relative:page;" fillcolor="#4472C4 [3204]" filled="t" stroked="t" coordsize="161925,161925" o:gfxdata="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bAwYc2wAAAAsB&#10;AAAPAAAAAAAAAAEAIAAAACIAAABkcnMvZG93bnJldi54bWxQSwECFAAUAAAACACHTuJAX4CqiYoC&#10;AAAbBQAADgAAAAAAAAABACAAAAAqAQAAZHJzL2Uyb0RvYy54bWxQSwUGAAAAAAYABgBZAQAAJgYA&#10;AAAA&#10;" path="m0,61849l61850,61850,80962,0,100074,61850,161924,61849,111886,100074,130999,161924,80962,123698,30925,161924,50038,100074xe">
                <v:path o:connectlocs="80962,0;0,61849;30925,161924;130999,161924;161924,61849" o:connectangles="247,164,82,82,0"/>
                <v:fill on="t" focussize="0,0"/>
                <v:stroke weight="1pt" color="#2F5597 [2404]" miterlimit="8" joinstyle="miter"/>
                <v:imagedata o:title=""/>
                <o:lock v:ext="edit" aspectratio="f"/>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4403090</wp:posOffset>
                </wp:positionH>
                <wp:positionV relativeFrom="paragraph">
                  <wp:posOffset>943610</wp:posOffset>
                </wp:positionV>
                <wp:extent cx="161925" cy="161925"/>
                <wp:effectExtent l="19050" t="21590" r="28575" b="26035"/>
                <wp:wrapNone/>
                <wp:docPr id="12" name="五角星 12"/>
                <wp:cNvGraphicFramePr/>
                <a:graphic xmlns:a="http://schemas.openxmlformats.org/drawingml/2006/main">
                  <a:graphicData uri="http://schemas.microsoft.com/office/word/2010/wordprocessingShape">
                    <wps:wsp>
                      <wps:cNvSpPr/>
                      <wps:spPr>
                        <a:xfrm>
                          <a:off x="5303520" y="1844040"/>
                          <a:ext cx="161925" cy="161925"/>
                        </a:xfrm>
                        <a:prstGeom prst="star5">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6.7pt;margin-top:74.3pt;height:12.75pt;width:12.75pt;z-index:251693056;v-text-anchor:middle;mso-width-relative:page;mso-height-relative:page;" fillcolor="#4472C4 [3204]" filled="t" stroked="t" coordsize="161925,161925" o:gfxdata="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aYqS+2wAAAAsBAAAPAAAAAAAAAAEAIAAAACIAAABkcnMvZG93bnJldi54bWxQSwECFAAUAAAA&#10;CACHTuJAFXamYpYCAAAnBQAADgAAAAAAAAABACAAAAAqAQAAZHJzL2Uyb0RvYy54bWxQSwUGAAAA&#10;AAYABgBZAQAAMgYAAAAA&#10;" path="m0,61849l61850,61850,80962,0,100074,61850,161924,61849,111886,100074,130999,161924,80962,123698,30925,161924,50038,100074xe">
                <v:path o:connectlocs="80962,0;0,61849;30925,161924;130999,161924;161924,61849" o:connectangles="247,164,82,82,0"/>
                <v:fill on="t" focussize="0,0"/>
                <v:stroke weight="1pt" color="#2F5597 [2404]" miterlimit="8" joinstyle="miter"/>
                <v:imagedata o:title=""/>
                <o:lock v:ext="edit" aspectratio="f"/>
              </v:shape>
            </w:pict>
          </mc:Fallback>
        </mc:AlternateContent>
      </w:r>
      <w:r>
        <w:drawing>
          <wp:anchor distT="0" distB="0" distL="114300" distR="114300" simplePos="0" relativeHeight="251692032" behindDoc="0" locked="0" layoutInCell="1" allowOverlap="1">
            <wp:simplePos x="0" y="0"/>
            <wp:positionH relativeFrom="column">
              <wp:posOffset>1921510</wp:posOffset>
            </wp:positionH>
            <wp:positionV relativeFrom="paragraph">
              <wp:posOffset>4646295</wp:posOffset>
            </wp:positionV>
            <wp:extent cx="209550" cy="257175"/>
            <wp:effectExtent l="0" t="0" r="0" b="9525"/>
            <wp:wrapNone/>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5"/>
                    <a:stretch>
                      <a:fillRect/>
                    </a:stretch>
                  </pic:blipFill>
                  <pic:spPr>
                    <a:xfrm>
                      <a:off x="0" y="0"/>
                      <a:ext cx="209550" cy="257175"/>
                    </a:xfrm>
                    <a:prstGeom prst="rect">
                      <a:avLst/>
                    </a:prstGeom>
                    <a:noFill/>
                    <a:ln>
                      <a:noFill/>
                    </a:ln>
                  </pic:spPr>
                </pic:pic>
              </a:graphicData>
            </a:graphic>
          </wp:anchor>
        </w:drawing>
      </w:r>
      <w:r>
        <w:rPr>
          <w:sz w:val="21"/>
        </w:rPr>
        <mc:AlternateContent>
          <mc:Choice Requires="wps">
            <w:drawing>
              <wp:anchor distT="0" distB="0" distL="114300" distR="114300" simplePos="0" relativeHeight="251691008" behindDoc="0" locked="0" layoutInCell="1" allowOverlap="1">
                <wp:simplePos x="0" y="0"/>
                <wp:positionH relativeFrom="column">
                  <wp:posOffset>1012190</wp:posOffset>
                </wp:positionH>
                <wp:positionV relativeFrom="paragraph">
                  <wp:posOffset>4382135</wp:posOffset>
                </wp:positionV>
                <wp:extent cx="1695450" cy="914400"/>
                <wp:effectExtent l="4445" t="4445" r="14605" b="14605"/>
                <wp:wrapNone/>
                <wp:docPr id="10" name="文本框 10"/>
                <wp:cNvGraphicFramePr/>
                <a:graphic xmlns:a="http://schemas.openxmlformats.org/drawingml/2006/main">
                  <a:graphicData uri="http://schemas.microsoft.com/office/word/2010/wordprocessingShape">
                    <wps:wsp>
                      <wps:cNvSpPr txBox="1"/>
                      <wps:spPr>
                        <a:xfrm>
                          <a:off x="1912620" y="5282565"/>
                          <a:ext cx="1695450" cy="914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b/>
                                <w:bCs/>
                                <w:lang w:val="en-US" w:eastAsia="zh-CN"/>
                              </w:rPr>
                            </w:pPr>
                            <w:r>
                              <w:rPr>
                                <w:rFonts w:hint="eastAsia" w:ascii="宋体" w:hAnsi="宋体" w:eastAsia="宋体" w:cs="宋体"/>
                                <w:b/>
                                <w:bCs/>
                                <w:lang w:val="en-US" w:eastAsia="zh-CN"/>
                              </w:rPr>
                              <w:t>图例</w:t>
                            </w:r>
                          </w:p>
                          <w:p>
                            <w:pPr>
                              <w:rPr>
                                <w:rFonts w:hint="eastAsia"/>
                                <w:lang w:val="en-US" w:eastAsia="zh-CN"/>
                              </w:rPr>
                            </w:pPr>
                            <w:r>
                              <w:rPr>
                                <w:rFonts w:hint="eastAsia"/>
                                <w:lang w:val="en-US" w:eastAsia="zh-CN"/>
                              </w:rPr>
                              <w:t>大气监测点</w:t>
                            </w:r>
                          </w:p>
                          <w:p>
                            <w:pPr>
                              <w:rPr>
                                <w:rFonts w:hint="eastAsia"/>
                                <w:lang w:val="en-US" w:eastAsia="zh-CN"/>
                              </w:rPr>
                            </w:pPr>
                          </w:p>
                          <w:p>
                            <w:pPr>
                              <w:rPr>
                                <w:rFonts w:hint="default"/>
                                <w:lang w:val="en-US" w:eastAsia="zh-CN"/>
                              </w:rPr>
                            </w:pPr>
                            <w:r>
                              <w:rPr>
                                <w:rFonts w:hint="eastAsia"/>
                                <w:lang w:val="en-US" w:eastAsia="zh-CN"/>
                              </w:rPr>
                              <w:t>噪声监测点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7pt;margin-top:345.05pt;height:72pt;width:133.5pt;z-index:251691008;mso-width-relative:page;mso-height-relative:page;" fillcolor="#FFFFFF [3201]" filled="t" stroked="t" coordsize="21600,21600" o:gfxdata="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4VzOJ1wAAAAsBAAAPAAAAAAAAAAEAIAAAACIAAABkcnMvZG93bnJldi54bWxQSwECFAAUAAAA&#10;CACHTuJABHT+jmECAADFBAAADgAAAAAAAAABACAAAAAmAQAAZHJzL2Uyb0RvYy54bWxQSwUGAAAA&#10;AAYABgBZAQAA+QUAAAAA&#10;">
                <v:fill on="t" focussize="0,0"/>
                <v:stroke weight="0.5pt" color="#000000 [3204]" joinstyle="round"/>
                <v:imagedata o:title=""/>
                <o:lock v:ext="edit" aspectratio="f"/>
                <v:textbox>
                  <w:txbxContent>
                    <w:p>
                      <w:pPr>
                        <w:jc w:val="center"/>
                        <w:rPr>
                          <w:rFonts w:hint="eastAsia" w:ascii="宋体" w:hAnsi="宋体" w:eastAsia="宋体" w:cs="宋体"/>
                          <w:b/>
                          <w:bCs/>
                          <w:lang w:val="en-US" w:eastAsia="zh-CN"/>
                        </w:rPr>
                      </w:pPr>
                      <w:r>
                        <w:rPr>
                          <w:rFonts w:hint="eastAsia" w:ascii="宋体" w:hAnsi="宋体" w:eastAsia="宋体" w:cs="宋体"/>
                          <w:b/>
                          <w:bCs/>
                          <w:lang w:val="en-US" w:eastAsia="zh-CN"/>
                        </w:rPr>
                        <w:t>图例</w:t>
                      </w:r>
                    </w:p>
                    <w:p>
                      <w:pPr>
                        <w:rPr>
                          <w:rFonts w:hint="eastAsia"/>
                          <w:lang w:val="en-US" w:eastAsia="zh-CN"/>
                        </w:rPr>
                      </w:pPr>
                      <w:r>
                        <w:rPr>
                          <w:rFonts w:hint="eastAsia"/>
                          <w:lang w:val="en-US" w:eastAsia="zh-CN"/>
                        </w:rPr>
                        <w:t>大气监测点</w:t>
                      </w:r>
                    </w:p>
                    <w:p>
                      <w:pPr>
                        <w:rPr>
                          <w:rFonts w:hint="eastAsia"/>
                          <w:lang w:val="en-US" w:eastAsia="zh-CN"/>
                        </w:rPr>
                      </w:pPr>
                    </w:p>
                    <w:p>
                      <w:pPr>
                        <w:rPr>
                          <w:rFonts w:hint="default"/>
                          <w:lang w:val="en-US" w:eastAsia="zh-CN"/>
                        </w:rPr>
                      </w:pPr>
                      <w:r>
                        <w:rPr>
                          <w:rFonts w:hint="eastAsia"/>
                          <w:lang w:val="en-US" w:eastAsia="zh-CN"/>
                        </w:rPr>
                        <w:t>噪声监测点</w:t>
                      </w:r>
                    </w:p>
                  </w:txbxContent>
                </v:textbox>
              </v:shape>
            </w:pict>
          </mc:Fallback>
        </mc:AlternateContent>
      </w:r>
      <w:r>
        <w:drawing>
          <wp:inline distT="0" distB="0" distL="114300" distR="114300">
            <wp:extent cx="6848475" cy="5305425"/>
            <wp:effectExtent l="0" t="0" r="9525"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6"/>
                    <a:stretch>
                      <a:fillRect/>
                    </a:stretch>
                  </pic:blipFill>
                  <pic:spPr>
                    <a:xfrm>
                      <a:off x="0" y="0"/>
                      <a:ext cx="6848475" cy="5305425"/>
                    </a:xfrm>
                    <a:prstGeom prst="rect">
                      <a:avLst/>
                    </a:prstGeom>
                    <a:noFill/>
                    <a:ln>
                      <a:noFill/>
                    </a:ln>
                  </pic:spPr>
                </pic:pic>
              </a:graphicData>
            </a:graphic>
          </wp:inline>
        </w:drawing>
      </w:r>
    </w:p>
    <w:p>
      <w:pPr>
        <w:jc w:val="center"/>
        <w:rPr>
          <w:rFonts w:hint="default" w:ascii="Times New Roman" w:hAnsi="Times New Roman" w:eastAsia="宋体"/>
          <w:b/>
          <w:bCs/>
          <w:sz w:val="28"/>
          <w:szCs w:val="28"/>
          <w:lang w:val="en-US" w:eastAsia="zh-CN"/>
        </w:rPr>
      </w:pPr>
      <w:r>
        <w:rPr>
          <w:rFonts w:hint="eastAsia" w:ascii="Times New Roman" w:hAnsi="Times New Roman" w:eastAsia="宋体"/>
          <w:b/>
          <w:bCs/>
          <w:sz w:val="28"/>
          <w:szCs w:val="28"/>
          <w:lang w:val="en-US" w:eastAsia="zh-CN"/>
        </w:rPr>
        <w:t>附图五 环境现状监测布点图</w:t>
      </w:r>
    </w:p>
    <w:sectPr>
      <w:pgSz w:w="16838" w:h="11906" w:orient="landscape"/>
      <w:pgMar w:top="1418" w:right="1418" w:bottom="1418" w:left="141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82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Segoe UI Emoji">
    <w:panose1 w:val="020B0502040204020203"/>
    <w:charset w:val="00"/>
    <w:family w:val="swiss"/>
    <w:pitch w:val="default"/>
    <w:sig w:usb0="00000001" w:usb1="02000000" w:usb2="0000000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Wingdings 2">
    <w:altName w:val="Wingdings"/>
    <w:panose1 w:val="00000000000000000000"/>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- 36 -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- 36 -</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cxNDczMDlkODI4ZjUyODg2MzdjMzIxNDlkMzk1Y2EifQ=="/>
  </w:docVars>
  <w:rsids>
    <w:rsidRoot w:val="00A1049B"/>
    <w:rsid w:val="000103A2"/>
    <w:rsid w:val="00031B78"/>
    <w:rsid w:val="00043EE1"/>
    <w:rsid w:val="000A0E0A"/>
    <w:rsid w:val="000A6798"/>
    <w:rsid w:val="000D73FD"/>
    <w:rsid w:val="000E0252"/>
    <w:rsid w:val="000E4773"/>
    <w:rsid w:val="000E6EBB"/>
    <w:rsid w:val="000F15B0"/>
    <w:rsid w:val="000F3D8F"/>
    <w:rsid w:val="001229A1"/>
    <w:rsid w:val="001235DF"/>
    <w:rsid w:val="001539DE"/>
    <w:rsid w:val="00155092"/>
    <w:rsid w:val="001762C8"/>
    <w:rsid w:val="00177E0B"/>
    <w:rsid w:val="001957A8"/>
    <w:rsid w:val="001A0CEE"/>
    <w:rsid w:val="001A127A"/>
    <w:rsid w:val="001B676B"/>
    <w:rsid w:val="001C1849"/>
    <w:rsid w:val="001D224C"/>
    <w:rsid w:val="001D362B"/>
    <w:rsid w:val="001D7828"/>
    <w:rsid w:val="001E643A"/>
    <w:rsid w:val="00232F35"/>
    <w:rsid w:val="002363DA"/>
    <w:rsid w:val="002441B0"/>
    <w:rsid w:val="0027592C"/>
    <w:rsid w:val="00280A15"/>
    <w:rsid w:val="00295CB5"/>
    <w:rsid w:val="00297E36"/>
    <w:rsid w:val="00297FD1"/>
    <w:rsid w:val="002A7298"/>
    <w:rsid w:val="002C28AB"/>
    <w:rsid w:val="002C69E4"/>
    <w:rsid w:val="002D1553"/>
    <w:rsid w:val="002E54A5"/>
    <w:rsid w:val="00303C87"/>
    <w:rsid w:val="00313D91"/>
    <w:rsid w:val="00333E05"/>
    <w:rsid w:val="0035112F"/>
    <w:rsid w:val="003651AD"/>
    <w:rsid w:val="00367B2B"/>
    <w:rsid w:val="0038000F"/>
    <w:rsid w:val="003A0D55"/>
    <w:rsid w:val="003B2EA6"/>
    <w:rsid w:val="003C278C"/>
    <w:rsid w:val="003D4C99"/>
    <w:rsid w:val="003E3EA0"/>
    <w:rsid w:val="003E52F3"/>
    <w:rsid w:val="0040010C"/>
    <w:rsid w:val="00430B46"/>
    <w:rsid w:val="00435771"/>
    <w:rsid w:val="0043638E"/>
    <w:rsid w:val="00436A04"/>
    <w:rsid w:val="0044217B"/>
    <w:rsid w:val="004828E8"/>
    <w:rsid w:val="00483A16"/>
    <w:rsid w:val="004870D3"/>
    <w:rsid w:val="004A0509"/>
    <w:rsid w:val="004B6685"/>
    <w:rsid w:val="004C1140"/>
    <w:rsid w:val="004C2B72"/>
    <w:rsid w:val="004D10D8"/>
    <w:rsid w:val="004D499B"/>
    <w:rsid w:val="004E223D"/>
    <w:rsid w:val="004F2F3E"/>
    <w:rsid w:val="00505734"/>
    <w:rsid w:val="00522A86"/>
    <w:rsid w:val="00551084"/>
    <w:rsid w:val="005543E3"/>
    <w:rsid w:val="0057110C"/>
    <w:rsid w:val="00580248"/>
    <w:rsid w:val="00587B04"/>
    <w:rsid w:val="00591A6E"/>
    <w:rsid w:val="005A252C"/>
    <w:rsid w:val="005B0EBE"/>
    <w:rsid w:val="005C7CBB"/>
    <w:rsid w:val="005E39D9"/>
    <w:rsid w:val="0061022A"/>
    <w:rsid w:val="0063678E"/>
    <w:rsid w:val="00653E29"/>
    <w:rsid w:val="00660D65"/>
    <w:rsid w:val="006708EE"/>
    <w:rsid w:val="00676D49"/>
    <w:rsid w:val="006809AE"/>
    <w:rsid w:val="00685F58"/>
    <w:rsid w:val="006A3EA5"/>
    <w:rsid w:val="006A6939"/>
    <w:rsid w:val="006B6434"/>
    <w:rsid w:val="006C06B9"/>
    <w:rsid w:val="006D5329"/>
    <w:rsid w:val="00700318"/>
    <w:rsid w:val="00714E76"/>
    <w:rsid w:val="00725D39"/>
    <w:rsid w:val="00726228"/>
    <w:rsid w:val="0073136E"/>
    <w:rsid w:val="00732638"/>
    <w:rsid w:val="007328F2"/>
    <w:rsid w:val="007446D2"/>
    <w:rsid w:val="007449D5"/>
    <w:rsid w:val="00753AF7"/>
    <w:rsid w:val="007833B2"/>
    <w:rsid w:val="007C531F"/>
    <w:rsid w:val="007D678C"/>
    <w:rsid w:val="007D689D"/>
    <w:rsid w:val="007F7979"/>
    <w:rsid w:val="00812CE8"/>
    <w:rsid w:val="008155DA"/>
    <w:rsid w:val="008217A1"/>
    <w:rsid w:val="00823C13"/>
    <w:rsid w:val="0082401E"/>
    <w:rsid w:val="008401DB"/>
    <w:rsid w:val="00847E31"/>
    <w:rsid w:val="00857B93"/>
    <w:rsid w:val="00862049"/>
    <w:rsid w:val="008656F9"/>
    <w:rsid w:val="008974A7"/>
    <w:rsid w:val="008A2B78"/>
    <w:rsid w:val="008B1B75"/>
    <w:rsid w:val="008B5D57"/>
    <w:rsid w:val="008C4A94"/>
    <w:rsid w:val="008D3FCA"/>
    <w:rsid w:val="008E2CD1"/>
    <w:rsid w:val="008E4141"/>
    <w:rsid w:val="00920EF9"/>
    <w:rsid w:val="0093031A"/>
    <w:rsid w:val="00933410"/>
    <w:rsid w:val="009359E8"/>
    <w:rsid w:val="00955572"/>
    <w:rsid w:val="009737D4"/>
    <w:rsid w:val="0097484D"/>
    <w:rsid w:val="0098779D"/>
    <w:rsid w:val="009A5E2B"/>
    <w:rsid w:val="009B3C89"/>
    <w:rsid w:val="009B5DD4"/>
    <w:rsid w:val="009B6902"/>
    <w:rsid w:val="009F5817"/>
    <w:rsid w:val="00A004F5"/>
    <w:rsid w:val="00A1049B"/>
    <w:rsid w:val="00A12397"/>
    <w:rsid w:val="00A327BE"/>
    <w:rsid w:val="00A559FF"/>
    <w:rsid w:val="00A74ADB"/>
    <w:rsid w:val="00A808BF"/>
    <w:rsid w:val="00AB0F65"/>
    <w:rsid w:val="00AB66C7"/>
    <w:rsid w:val="00AE6E18"/>
    <w:rsid w:val="00AE7CC8"/>
    <w:rsid w:val="00B00B22"/>
    <w:rsid w:val="00B13B61"/>
    <w:rsid w:val="00B40202"/>
    <w:rsid w:val="00B429EB"/>
    <w:rsid w:val="00B51DC7"/>
    <w:rsid w:val="00B63894"/>
    <w:rsid w:val="00B6426E"/>
    <w:rsid w:val="00B74BED"/>
    <w:rsid w:val="00B81261"/>
    <w:rsid w:val="00B867BF"/>
    <w:rsid w:val="00BA5584"/>
    <w:rsid w:val="00BB35AE"/>
    <w:rsid w:val="00BB4818"/>
    <w:rsid w:val="00BC22F9"/>
    <w:rsid w:val="00BC28B1"/>
    <w:rsid w:val="00BC3F25"/>
    <w:rsid w:val="00BD7E4A"/>
    <w:rsid w:val="00BE4A94"/>
    <w:rsid w:val="00C30F82"/>
    <w:rsid w:val="00C725FE"/>
    <w:rsid w:val="00C80E13"/>
    <w:rsid w:val="00C9217E"/>
    <w:rsid w:val="00CD06C1"/>
    <w:rsid w:val="00CE22A6"/>
    <w:rsid w:val="00CF4B15"/>
    <w:rsid w:val="00CF7646"/>
    <w:rsid w:val="00D11C75"/>
    <w:rsid w:val="00D26C53"/>
    <w:rsid w:val="00D44ABD"/>
    <w:rsid w:val="00D77CDA"/>
    <w:rsid w:val="00D9678D"/>
    <w:rsid w:val="00DA6380"/>
    <w:rsid w:val="00DB766A"/>
    <w:rsid w:val="00DF469E"/>
    <w:rsid w:val="00E028CE"/>
    <w:rsid w:val="00E31F9A"/>
    <w:rsid w:val="00E37B43"/>
    <w:rsid w:val="00E40373"/>
    <w:rsid w:val="00E41925"/>
    <w:rsid w:val="00E73A77"/>
    <w:rsid w:val="00EA1121"/>
    <w:rsid w:val="00EA2B45"/>
    <w:rsid w:val="00EC1B61"/>
    <w:rsid w:val="00EC7AD4"/>
    <w:rsid w:val="00F03F2B"/>
    <w:rsid w:val="00F110D6"/>
    <w:rsid w:val="00F11ABE"/>
    <w:rsid w:val="00F20534"/>
    <w:rsid w:val="00F352E5"/>
    <w:rsid w:val="00F3664D"/>
    <w:rsid w:val="00F43CAE"/>
    <w:rsid w:val="00F534A5"/>
    <w:rsid w:val="00F62308"/>
    <w:rsid w:val="00F7118B"/>
    <w:rsid w:val="00F71B28"/>
    <w:rsid w:val="00F82044"/>
    <w:rsid w:val="00F8747E"/>
    <w:rsid w:val="00F954EE"/>
    <w:rsid w:val="00FD266D"/>
    <w:rsid w:val="00FD3820"/>
    <w:rsid w:val="00FD5AA2"/>
    <w:rsid w:val="00FE2075"/>
    <w:rsid w:val="00FF494C"/>
    <w:rsid w:val="14577506"/>
    <w:rsid w:val="6BC14227"/>
    <w:rsid w:val="70213275"/>
    <w:rsid w:val="72637BF8"/>
    <w:rsid w:val="72BD76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Body Text"/>
    <w:basedOn w:val="1"/>
    <w:next w:val="1"/>
    <w:link w:val="15"/>
    <w:unhideWhenUsed/>
    <w:qFormat/>
    <w:uiPriority w:val="99"/>
    <w:pPr>
      <w:widowControl/>
      <w:snapToGrid w:val="0"/>
      <w:spacing w:before="60" w:after="160" w:line="256" w:lineRule="auto"/>
      <w:ind w:right="113"/>
    </w:pPr>
    <w:rPr>
      <w:rFonts w:ascii="Times New Roman" w:hAnsi="Times New Roman" w:eastAsia="宋体" w:cs="Times New Roman"/>
      <w:kern w:val="0"/>
      <w:sz w:val="18"/>
      <w:szCs w:val="18"/>
    </w:rPr>
  </w:style>
  <w:style w:type="paragraph" w:styleId="4">
    <w:name w:val="footer"/>
    <w:basedOn w:val="1"/>
    <w:link w:val="14"/>
    <w:unhideWhenUsed/>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qFormat/>
    <w:uiPriority w:val="99"/>
    <w:rPr>
      <w:color w:val="0563C1" w:themeColor="hyperlink"/>
      <w:u w:val="single"/>
      <w14:textFill>
        <w14:solidFill>
          <w14:schemeClr w14:val="hlink"/>
        </w14:solidFill>
      </w14:textFill>
    </w:rPr>
  </w:style>
  <w:style w:type="table" w:customStyle="1" w:styleId="11">
    <w:name w:val="网格型1"/>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网格型2"/>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页眉 字符"/>
    <w:basedOn w:val="9"/>
    <w:link w:val="5"/>
    <w:qFormat/>
    <w:uiPriority w:val="99"/>
    <w:rPr>
      <w:sz w:val="18"/>
      <w:szCs w:val="18"/>
      <w14:ligatures w14:val="none"/>
    </w:rPr>
  </w:style>
  <w:style w:type="character" w:customStyle="1" w:styleId="14">
    <w:name w:val="页脚 字符"/>
    <w:basedOn w:val="9"/>
    <w:link w:val="4"/>
    <w:qFormat/>
    <w:uiPriority w:val="99"/>
    <w:rPr>
      <w:sz w:val="18"/>
      <w:szCs w:val="18"/>
      <w14:ligatures w14:val="none"/>
    </w:rPr>
  </w:style>
  <w:style w:type="character" w:customStyle="1" w:styleId="15">
    <w:name w:val="正文文本 字符"/>
    <w:basedOn w:val="9"/>
    <w:link w:val="3"/>
    <w:qFormat/>
    <w:uiPriority w:val="99"/>
    <w:rPr>
      <w:rFonts w:ascii="Times New Roman" w:hAnsi="Times New Roman" w:eastAsia="宋体" w:cs="Times New Roman"/>
      <w:kern w:val="0"/>
      <w:sz w:val="18"/>
      <w:szCs w:val="18"/>
      <w14:ligatures w14:val="none"/>
    </w:rPr>
  </w:style>
  <w:style w:type="table" w:customStyle="1" w:styleId="16">
    <w:name w:val="网格型11"/>
    <w:basedOn w:val="7"/>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表 图 内容"/>
    <w:basedOn w:val="1"/>
    <w:qFormat/>
    <w:uiPriority w:val="0"/>
    <w:pPr>
      <w:widowControl/>
      <w:jc w:val="center"/>
    </w:pPr>
    <w:rPr>
      <w:rFonts w:ascii="Times New Roman" w:hAnsi="Times New Roman" w:eastAsia="宋体" w:cs="Times New Roman"/>
      <w:color w:val="000000"/>
      <w:szCs w:val="21"/>
    </w:rPr>
  </w:style>
  <w:style w:type="paragraph" w:customStyle="1" w:styleId="18">
    <w:name w:val="表格内容"/>
    <w:basedOn w:val="1"/>
    <w:next w:val="1"/>
    <w:qFormat/>
    <w:uiPriority w:val="0"/>
    <w:pPr>
      <w:widowControl/>
      <w:jc w:val="center"/>
    </w:pPr>
    <w:rPr>
      <w:rFonts w:ascii="Times New Roman" w:hAnsi="Times New Roman" w:eastAsia="宋体" w:cs="Times New Roman"/>
      <w:color w:val="000000"/>
      <w:szCs w:val="21"/>
    </w:rPr>
  </w:style>
  <w:style w:type="paragraph" w:styleId="1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styleId="20">
    <w:name w:val="List Paragraph"/>
    <w:basedOn w:val="1"/>
    <w:qFormat/>
    <w:uiPriority w:val="34"/>
    <w:pPr>
      <w:ind w:firstLine="420" w:firstLineChars="200"/>
    </w:pPr>
  </w:style>
  <w:style w:type="paragraph" w:customStyle="1" w:styleId="21">
    <w:name w:val="报告表正文"/>
    <w:basedOn w:val="1"/>
    <w:link w:val="22"/>
    <w:qFormat/>
    <w:locked/>
    <w:uiPriority w:val="0"/>
    <w:pPr>
      <w:adjustRightInd w:val="0"/>
      <w:snapToGrid w:val="0"/>
      <w:spacing w:line="360" w:lineRule="auto"/>
      <w:ind w:firstLine="480" w:firstLineChars="200"/>
    </w:pPr>
    <w:rPr>
      <w:rFonts w:ascii="Times New Roman" w:hAnsi="Times New Roman" w:eastAsia="宋体" w:cs="Times New Roman"/>
      <w:szCs w:val="24"/>
      <w:lang w:val="zh-CN"/>
    </w:rPr>
  </w:style>
  <w:style w:type="character" w:customStyle="1" w:styleId="22">
    <w:name w:val="报告表正文 字符"/>
    <w:link w:val="21"/>
    <w:qFormat/>
    <w:uiPriority w:val="0"/>
    <w:rPr>
      <w:rFonts w:ascii="Times New Roman" w:hAnsi="Times New Roman" w:eastAsia="宋体" w:cs="Times New Roman"/>
      <w:szCs w:val="24"/>
      <w:lang w:val="zh-CN"/>
      <w14:ligatures w14:val="none"/>
    </w:rPr>
  </w:style>
  <w:style w:type="paragraph" w:customStyle="1" w:styleId="23">
    <w:name w:val="表格文字"/>
    <w:basedOn w:val="1"/>
    <w:link w:val="24"/>
    <w:qFormat/>
    <w:locked/>
    <w:uiPriority w:val="0"/>
    <w:pPr>
      <w:widowControl/>
    </w:pPr>
    <w:rPr>
      <w:rFonts w:ascii="Times New Roman" w:hAnsi="Times New Roman" w:eastAsia="宋体" w:cs="宋体"/>
      <w:kern w:val="0"/>
      <w:szCs w:val="24"/>
    </w:rPr>
  </w:style>
  <w:style w:type="character" w:customStyle="1" w:styleId="24">
    <w:name w:val="表格文字 字符"/>
    <w:link w:val="23"/>
    <w:qFormat/>
    <w:uiPriority w:val="0"/>
    <w:rPr>
      <w:rFonts w:ascii="Times New Roman" w:hAnsi="Times New Roman" w:eastAsia="宋体" w:cs="宋体"/>
      <w:kern w:val="0"/>
      <w:szCs w:val="24"/>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package" Target="embeddings/Microsoft_Visio___2.vsdx"/><Relationship Id="rId7" Type="http://schemas.openxmlformats.org/officeDocument/2006/relationships/image" Target="media/image2.png"/><Relationship Id="rId6" Type="http://schemas.openxmlformats.org/officeDocument/2006/relationships/image" Target="media/image1.emf"/><Relationship Id="rId5" Type="http://schemas.openxmlformats.org/officeDocument/2006/relationships/package" Target="embeddings/Microsoft_Visio___1.vsdx"/><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customXml" Target="../customXml/item1.xml"/><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image" Target="media/image12.wmf"/><Relationship Id="rId17" Type="http://schemas.openxmlformats.org/officeDocument/2006/relationships/image" Target="media/image11.wmf"/><Relationship Id="rId16" Type="http://schemas.openxmlformats.org/officeDocument/2006/relationships/image" Target="media/image10.wmf"/><Relationship Id="rId15" Type="http://schemas.openxmlformats.org/officeDocument/2006/relationships/image" Target="media/image9.wmf"/><Relationship Id="rId14" Type="http://schemas.openxmlformats.org/officeDocument/2006/relationships/image" Target="media/image8.wmf"/><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B582E5-F473-43C9-A30A-8417CDEE602C}">
  <ds:schemaRefs/>
</ds:datastoreItem>
</file>

<file path=docProps/app.xml><?xml version="1.0" encoding="utf-8"?>
<Properties xmlns="http://schemas.openxmlformats.org/officeDocument/2006/extended-properties" xmlns:vt="http://schemas.openxmlformats.org/officeDocument/2006/docPropsVTypes">
  <Template>Normal</Template>
  <Pages>39</Pages>
  <Words>3394</Words>
  <Characters>19352</Characters>
  <Lines>161</Lines>
  <Paragraphs>45</Paragraphs>
  <TotalTime>5</TotalTime>
  <ScaleCrop>false</ScaleCrop>
  <LinksUpToDate>false</LinksUpToDate>
  <CharactersWithSpaces>22701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2023-09-25T01:31:00Z</dcterms:created>
  <dc:creator>Administrator</dc:creator>
  <cp:lastModifiedBy>Administrator</cp:lastModifiedBy>
  <dcterms:modified xsi:type="dcterms:W3CDTF">2023-11-15T03:54:47Z</dcterms:modified>
  <cp:revision>218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78B6CADE95B5472AB7B8CAF8F243D735_12</vt:lpwstr>
  </property>
</Properties>
</file>